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F916D88" w:rsidR="00F110CD" w:rsidRPr="00297284" w:rsidRDefault="00F110CD" w:rsidP="00F110CD">
      <w:pPr>
        <w:pStyle w:val="Header"/>
        <w:tabs>
          <w:tab w:val="right" w:pos="9639"/>
        </w:tabs>
        <w:rPr>
          <w:bCs/>
          <w:noProof w:val="0"/>
          <w:sz w:val="24"/>
          <w:szCs w:val="24"/>
          <w:lang w:val="en-GB"/>
        </w:rPr>
      </w:pPr>
      <w:bookmarkStart w:id="0" w:name="_Hlk37418177"/>
      <w:r w:rsidRPr="00297284">
        <w:rPr>
          <w:bCs/>
          <w:noProof w:val="0"/>
          <w:sz w:val="24"/>
          <w:szCs w:val="24"/>
          <w:lang w:val="en-GB"/>
        </w:rPr>
        <w:t>3GPP TSG RA</w:t>
      </w:r>
      <w:r w:rsidR="00BA1872" w:rsidRPr="00297284">
        <w:rPr>
          <w:bCs/>
          <w:noProof w:val="0"/>
          <w:sz w:val="24"/>
          <w:szCs w:val="24"/>
          <w:lang w:val="en-GB"/>
        </w:rPr>
        <w:t>N WG1</w:t>
      </w:r>
      <w:r w:rsidR="00DE1B83">
        <w:rPr>
          <w:bCs/>
          <w:noProof w:val="0"/>
          <w:sz w:val="24"/>
          <w:szCs w:val="24"/>
          <w:lang w:val="en-GB"/>
        </w:rPr>
        <w:t xml:space="preserve"> Meeting</w:t>
      </w:r>
      <w:r w:rsidR="00BA1872" w:rsidRPr="00297284">
        <w:rPr>
          <w:bCs/>
          <w:noProof w:val="0"/>
          <w:sz w:val="24"/>
          <w:szCs w:val="24"/>
          <w:lang w:val="en-GB"/>
        </w:rPr>
        <w:t xml:space="preserve"> </w:t>
      </w:r>
      <w:r w:rsidR="00B65452" w:rsidRPr="00297284">
        <w:rPr>
          <w:bCs/>
          <w:noProof w:val="0"/>
          <w:sz w:val="24"/>
          <w:szCs w:val="24"/>
          <w:lang w:val="en-GB"/>
        </w:rPr>
        <w:t>#</w:t>
      </w:r>
      <w:r w:rsidR="00191E79" w:rsidRPr="00297284">
        <w:rPr>
          <w:bCs/>
          <w:noProof w:val="0"/>
          <w:sz w:val="24"/>
          <w:szCs w:val="24"/>
          <w:lang w:val="en-GB"/>
        </w:rPr>
        <w:t>1</w:t>
      </w:r>
      <w:r w:rsidR="00F07F6F" w:rsidRPr="00297284">
        <w:rPr>
          <w:bCs/>
          <w:noProof w:val="0"/>
          <w:sz w:val="24"/>
          <w:szCs w:val="24"/>
          <w:lang w:val="en-GB"/>
        </w:rPr>
        <w:t>10</w:t>
      </w:r>
      <w:r w:rsidR="001348FE" w:rsidRPr="00297284">
        <w:rPr>
          <w:lang w:val="en-GB"/>
        </w:rPr>
        <w:tab/>
      </w:r>
      <w:r w:rsidR="00376FC4" w:rsidRPr="00376FC4">
        <w:rPr>
          <w:bCs/>
          <w:noProof w:val="0"/>
          <w:sz w:val="24"/>
          <w:szCs w:val="24"/>
          <w:lang w:val="en-GB"/>
        </w:rPr>
        <w:t>R1-2206984</w:t>
      </w:r>
    </w:p>
    <w:p w14:paraId="30E02940" w14:textId="41BE7A95" w:rsidR="00CA26CE" w:rsidRPr="00297284" w:rsidRDefault="00376FC4" w:rsidP="00CA26CE">
      <w:pPr>
        <w:pStyle w:val="Header"/>
        <w:rPr>
          <w:bCs/>
          <w:noProof w:val="0"/>
          <w:sz w:val="24"/>
          <w:szCs w:val="24"/>
          <w:lang w:val="en-GB"/>
        </w:rPr>
      </w:pPr>
      <w:r>
        <w:rPr>
          <w:rFonts w:cs="Arial"/>
          <w:bCs/>
          <w:sz w:val="24"/>
          <w:szCs w:val="28"/>
          <w:lang w:eastAsia="zh-TW"/>
        </w:rPr>
        <w:t>Toulouse, France,</w:t>
      </w:r>
      <w:r>
        <w:rPr>
          <w:sz w:val="16"/>
        </w:rPr>
        <w:t xml:space="preserve"> </w:t>
      </w:r>
      <w:r>
        <w:rPr>
          <w:rFonts w:cs="Arial"/>
          <w:bCs/>
          <w:sz w:val="24"/>
          <w:szCs w:val="28"/>
          <w:lang w:eastAsia="zh-TW"/>
        </w:rPr>
        <w:t>August 22</w:t>
      </w:r>
      <w:r>
        <w:rPr>
          <w:rFonts w:cs="Arial"/>
          <w:bCs/>
          <w:sz w:val="24"/>
          <w:szCs w:val="28"/>
          <w:vertAlign w:val="superscript"/>
          <w:lang w:eastAsia="zh-TW"/>
        </w:rPr>
        <w:t>nd</w:t>
      </w:r>
      <w:r>
        <w:rPr>
          <w:rFonts w:cs="Arial"/>
          <w:bCs/>
          <w:sz w:val="24"/>
          <w:szCs w:val="28"/>
          <w:lang w:eastAsia="zh-TW"/>
        </w:rPr>
        <w:t xml:space="preserve"> – </w:t>
      </w:r>
      <w:r w:rsidRPr="00376FC4">
        <w:rPr>
          <w:rFonts w:cs="Arial"/>
          <w:bCs/>
          <w:sz w:val="24"/>
          <w:szCs w:val="28"/>
          <w:lang w:eastAsia="zh-TW"/>
        </w:rPr>
        <w:t>26</w:t>
      </w:r>
      <w:r w:rsidRPr="00376FC4">
        <w:rPr>
          <w:rFonts w:cs="Arial"/>
          <w:bCs/>
          <w:sz w:val="24"/>
          <w:szCs w:val="28"/>
          <w:vertAlign w:val="superscript"/>
          <w:lang w:eastAsia="zh-TW"/>
        </w:rPr>
        <w:t>th</w:t>
      </w:r>
      <w:r w:rsidR="002778BD" w:rsidRPr="00376FC4">
        <w:rPr>
          <w:bCs/>
          <w:noProof w:val="0"/>
          <w:sz w:val="24"/>
          <w:szCs w:val="24"/>
          <w:lang w:val="en-GB"/>
        </w:rPr>
        <w:t>, 202</w:t>
      </w:r>
      <w:r w:rsidR="001B38EE" w:rsidRPr="00376FC4">
        <w:rPr>
          <w:bCs/>
          <w:noProof w:val="0"/>
          <w:sz w:val="24"/>
          <w:szCs w:val="24"/>
          <w:lang w:val="en-GB"/>
        </w:rPr>
        <w:t>2</w:t>
      </w:r>
    </w:p>
    <w:bookmarkEnd w:id="0"/>
    <w:p w14:paraId="2CFE1919" w14:textId="77777777" w:rsidR="00850D96" w:rsidRPr="00297284" w:rsidRDefault="00850D96" w:rsidP="00CA26CE">
      <w:pPr>
        <w:pStyle w:val="Header"/>
        <w:rPr>
          <w:bCs/>
          <w:noProof w:val="0"/>
          <w:sz w:val="24"/>
          <w:lang w:val="en-GB" w:eastAsia="ja-JP"/>
        </w:rPr>
      </w:pPr>
    </w:p>
    <w:p w14:paraId="30E02941" w14:textId="5504327A" w:rsidR="0034111C" w:rsidRPr="00297284" w:rsidRDefault="0034111C" w:rsidP="16512788">
      <w:pPr>
        <w:pStyle w:val="CRCoverPage"/>
        <w:rPr>
          <w:rFonts w:cs="Arial"/>
          <w:b/>
          <w:bCs/>
          <w:sz w:val="24"/>
          <w:szCs w:val="24"/>
          <w:lang w:eastAsia="ja-JP"/>
        </w:rPr>
      </w:pPr>
      <w:r w:rsidRPr="00297284">
        <w:rPr>
          <w:rFonts w:cs="Arial"/>
          <w:b/>
          <w:bCs/>
          <w:sz w:val="24"/>
          <w:szCs w:val="24"/>
        </w:rPr>
        <w:t>Agenda item:</w:t>
      </w:r>
      <w:r w:rsidRPr="00297284">
        <w:rPr>
          <w:rFonts w:cs="Arial"/>
          <w:b/>
          <w:bCs/>
          <w:sz w:val="24"/>
        </w:rPr>
        <w:tab/>
      </w:r>
      <w:r w:rsidRPr="00297284">
        <w:rPr>
          <w:rFonts w:cs="Arial"/>
          <w:b/>
          <w:bCs/>
          <w:sz w:val="24"/>
        </w:rPr>
        <w:tab/>
      </w:r>
      <w:r w:rsidR="00675EB7" w:rsidRPr="00297284">
        <w:rPr>
          <w:rFonts w:cs="Arial"/>
          <w:b/>
          <w:bCs/>
          <w:sz w:val="24"/>
          <w:szCs w:val="24"/>
        </w:rPr>
        <w:t>9</w:t>
      </w:r>
      <w:r w:rsidR="00CC7843" w:rsidRPr="00297284">
        <w:rPr>
          <w:rFonts w:cs="Arial"/>
          <w:b/>
          <w:bCs/>
          <w:sz w:val="24"/>
          <w:szCs w:val="24"/>
        </w:rPr>
        <w:t>.</w:t>
      </w:r>
      <w:r w:rsidR="00675EB7" w:rsidRPr="00297284">
        <w:rPr>
          <w:rFonts w:cs="Arial"/>
          <w:b/>
          <w:bCs/>
          <w:sz w:val="24"/>
          <w:szCs w:val="24"/>
        </w:rPr>
        <w:t>3</w:t>
      </w:r>
      <w:r w:rsidR="00CC7843" w:rsidRPr="00297284">
        <w:rPr>
          <w:rFonts w:cs="Arial"/>
          <w:b/>
          <w:bCs/>
          <w:sz w:val="24"/>
          <w:szCs w:val="24"/>
        </w:rPr>
        <w:t>.</w:t>
      </w:r>
      <w:r w:rsidR="00675EB7" w:rsidRPr="00297284">
        <w:rPr>
          <w:rFonts w:cs="Arial"/>
          <w:b/>
          <w:bCs/>
          <w:sz w:val="24"/>
          <w:szCs w:val="24"/>
        </w:rPr>
        <w:t>2</w:t>
      </w:r>
    </w:p>
    <w:p w14:paraId="30E02942" w14:textId="4B6830AB" w:rsidR="00E128F2" w:rsidRPr="00297284" w:rsidRDefault="0034111C" w:rsidP="16512788">
      <w:pPr>
        <w:tabs>
          <w:tab w:val="left" w:pos="1985"/>
        </w:tabs>
        <w:spacing w:after="120"/>
        <w:ind w:left="1985" w:hanging="1985"/>
        <w:rPr>
          <w:rFonts w:ascii="Arial" w:hAnsi="Arial" w:cs="Arial"/>
          <w:b/>
          <w:bCs/>
          <w:sz w:val="24"/>
          <w:szCs w:val="24"/>
        </w:rPr>
      </w:pPr>
      <w:r w:rsidRPr="00297284">
        <w:rPr>
          <w:rFonts w:ascii="Arial" w:hAnsi="Arial" w:cs="Arial"/>
          <w:b/>
          <w:bCs/>
          <w:sz w:val="24"/>
          <w:szCs w:val="24"/>
        </w:rPr>
        <w:t>Source:</w:t>
      </w:r>
      <w:r w:rsidRPr="00297284">
        <w:rPr>
          <w:rFonts w:ascii="Arial" w:hAnsi="Arial" w:cs="Arial"/>
          <w:b/>
          <w:bCs/>
          <w:sz w:val="24"/>
        </w:rPr>
        <w:tab/>
      </w:r>
      <w:r w:rsidR="00F07F6F" w:rsidRPr="00297284">
        <w:rPr>
          <w:rFonts w:ascii="Arial" w:hAnsi="Arial" w:cs="Arial"/>
          <w:b/>
          <w:bCs/>
          <w:sz w:val="24"/>
          <w:szCs w:val="24"/>
        </w:rPr>
        <w:t>MediaTek Inc.</w:t>
      </w:r>
    </w:p>
    <w:p w14:paraId="30E02943" w14:textId="0DBB5668" w:rsidR="0034111C" w:rsidRPr="00297284" w:rsidRDefault="0034111C" w:rsidP="16512788">
      <w:pPr>
        <w:ind w:left="1985" w:hanging="1985"/>
        <w:rPr>
          <w:rFonts w:ascii="Arial" w:hAnsi="Arial" w:cs="Arial"/>
          <w:b/>
          <w:bCs/>
          <w:sz w:val="24"/>
          <w:szCs w:val="24"/>
        </w:rPr>
      </w:pPr>
      <w:r w:rsidRPr="00297284">
        <w:rPr>
          <w:rFonts w:ascii="Arial" w:hAnsi="Arial" w:cs="Arial"/>
          <w:b/>
          <w:bCs/>
          <w:sz w:val="24"/>
          <w:szCs w:val="24"/>
        </w:rPr>
        <w:t>Title:</w:t>
      </w:r>
      <w:r w:rsidRPr="00297284">
        <w:rPr>
          <w:rFonts w:ascii="Arial" w:hAnsi="Arial" w:cs="Arial"/>
          <w:b/>
          <w:bCs/>
          <w:sz w:val="24"/>
        </w:rPr>
        <w:tab/>
      </w:r>
      <w:r w:rsidR="0014726E" w:rsidRPr="0014726E">
        <w:rPr>
          <w:rFonts w:ascii="Arial" w:hAnsi="Arial" w:cs="Arial"/>
          <w:b/>
          <w:bCs/>
          <w:sz w:val="24"/>
        </w:rPr>
        <w:t>Discussion on subband non-overlapping full duplex for NR</w:t>
      </w:r>
    </w:p>
    <w:p w14:paraId="30E02944" w14:textId="27D4B30B" w:rsidR="0034111C" w:rsidRPr="00297284" w:rsidRDefault="0034111C" w:rsidP="16512788">
      <w:pPr>
        <w:rPr>
          <w:rFonts w:ascii="Arial" w:hAnsi="Arial" w:cs="Arial"/>
          <w:b/>
          <w:bCs/>
          <w:sz w:val="24"/>
          <w:szCs w:val="24"/>
        </w:rPr>
      </w:pPr>
      <w:r w:rsidRPr="00297284">
        <w:rPr>
          <w:rFonts w:ascii="Arial" w:hAnsi="Arial" w:cs="Arial"/>
          <w:b/>
          <w:bCs/>
          <w:sz w:val="24"/>
          <w:szCs w:val="24"/>
        </w:rPr>
        <w:t xml:space="preserve">Document </w:t>
      </w:r>
      <w:r w:rsidR="3E61DC49" w:rsidRPr="00297284">
        <w:rPr>
          <w:rFonts w:ascii="Arial" w:hAnsi="Arial" w:cs="Arial"/>
          <w:b/>
          <w:bCs/>
          <w:sz w:val="24"/>
          <w:szCs w:val="24"/>
        </w:rPr>
        <w:t>for:</w:t>
      </w:r>
      <w:r w:rsidRPr="00297284">
        <w:tab/>
      </w:r>
      <w:r w:rsidR="00220615" w:rsidRPr="00297284">
        <w:tab/>
      </w:r>
      <w:r w:rsidRPr="00297284">
        <w:rPr>
          <w:rFonts w:ascii="Arial" w:hAnsi="Arial" w:cs="Arial"/>
          <w:b/>
          <w:bCs/>
          <w:sz w:val="24"/>
          <w:szCs w:val="24"/>
        </w:rPr>
        <w:t>Discussion and Decision</w:t>
      </w:r>
    </w:p>
    <w:p w14:paraId="7CF7938E" w14:textId="633C7172" w:rsidR="00ED1327" w:rsidRPr="00297284" w:rsidRDefault="00EE7FA7" w:rsidP="00ED1327">
      <w:pPr>
        <w:pStyle w:val="Heading1"/>
      </w:pPr>
      <w:r w:rsidRPr="00297284">
        <w:t>Introduction</w:t>
      </w:r>
    </w:p>
    <w:p w14:paraId="700E2A91" w14:textId="013B5E63" w:rsidR="00995884" w:rsidRPr="00297284" w:rsidRDefault="00995884" w:rsidP="007B5028">
      <w:pPr>
        <w:jc w:val="both"/>
      </w:pPr>
      <w:r w:rsidRPr="00297284">
        <w:t>RAN has agreed in RP-2</w:t>
      </w:r>
      <w:r w:rsidR="00D047A8" w:rsidRPr="00297284">
        <w:t>2</w:t>
      </w:r>
      <w:r w:rsidR="006C6642" w:rsidRPr="00297284">
        <w:t>0633</w:t>
      </w:r>
      <w:r w:rsidRPr="00297284">
        <w:t xml:space="preserve"> a new Study Item on evolution of NR duplex operation with </w:t>
      </w:r>
      <w:r w:rsidR="000F6D98" w:rsidRPr="00297284">
        <w:t xml:space="preserve">the </w:t>
      </w:r>
      <w:r w:rsidRPr="00297284">
        <w:t>following objectives [1]:</w:t>
      </w:r>
    </w:p>
    <w:tbl>
      <w:tblPr>
        <w:tblStyle w:val="TableGrid"/>
        <w:tblW w:w="0" w:type="auto"/>
        <w:tblLook w:val="04A0" w:firstRow="1" w:lastRow="0" w:firstColumn="1" w:lastColumn="0" w:noHBand="0" w:noVBand="1"/>
      </w:tblPr>
      <w:tblGrid>
        <w:gridCol w:w="9629"/>
      </w:tblGrid>
      <w:tr w:rsidR="00995884" w:rsidRPr="00297284" w14:paraId="1B790D7A" w14:textId="77777777" w:rsidTr="003B632F">
        <w:tc>
          <w:tcPr>
            <w:tcW w:w="9629" w:type="dxa"/>
          </w:tcPr>
          <w:p w14:paraId="6A83E1AD" w14:textId="77777777" w:rsidR="00995884" w:rsidRPr="00297284" w:rsidRDefault="00995884" w:rsidP="00B0078E">
            <w:pPr>
              <w:spacing w:after="60"/>
              <w:ind w:right="-96"/>
              <w:jc w:val="both"/>
              <w:rPr>
                <w:bCs/>
                <w:lang w:eastAsia="ko-KR"/>
              </w:rPr>
            </w:pPr>
            <w:r w:rsidRPr="00297284">
              <w:rPr>
                <w:bCs/>
                <w:lang w:eastAsia="ko-KR"/>
              </w:rPr>
              <w:t>The detailed objectives are as follows:</w:t>
            </w:r>
          </w:p>
          <w:p w14:paraId="6075A45B" w14:textId="77777777" w:rsidR="00995884" w:rsidRPr="00297284" w:rsidRDefault="00995884" w:rsidP="00B0078E">
            <w:pPr>
              <w:numPr>
                <w:ilvl w:val="0"/>
                <w:numId w:val="17"/>
              </w:numPr>
              <w:spacing w:after="0"/>
              <w:ind w:left="806" w:hanging="403"/>
              <w:jc w:val="both"/>
            </w:pPr>
            <w:r w:rsidRPr="00297284">
              <w:t>Identify applicable and relevant deployment scenarios (RAN1).</w:t>
            </w:r>
          </w:p>
          <w:p w14:paraId="1C2F103A" w14:textId="77777777" w:rsidR="00995884" w:rsidRPr="00297284" w:rsidRDefault="00995884" w:rsidP="00B0078E">
            <w:pPr>
              <w:numPr>
                <w:ilvl w:val="0"/>
                <w:numId w:val="17"/>
              </w:numPr>
              <w:spacing w:after="0"/>
              <w:ind w:left="806" w:hanging="403"/>
              <w:jc w:val="both"/>
            </w:pPr>
            <w:r w:rsidRPr="00297284">
              <w:t>Develop evaluation methodology for duplex enhancement (RAN1).</w:t>
            </w:r>
          </w:p>
          <w:p w14:paraId="548E3A64" w14:textId="77777777" w:rsidR="00995884" w:rsidRPr="00297284" w:rsidRDefault="00995884" w:rsidP="00B0078E">
            <w:pPr>
              <w:numPr>
                <w:ilvl w:val="0"/>
                <w:numId w:val="17"/>
              </w:numPr>
              <w:spacing w:after="0"/>
              <w:ind w:left="806" w:hanging="403"/>
              <w:jc w:val="both"/>
            </w:pPr>
            <w:r w:rsidRPr="00297284">
              <w:rPr>
                <w:rFonts w:eastAsia="Malgun Gothic"/>
                <w:lang w:eastAsia="ko-KR"/>
              </w:rPr>
              <w:t xml:space="preserve">Study the subband non-overlapping full duplex and </w:t>
            </w:r>
            <w:bookmarkStart w:id="1" w:name="_Hlk89796625"/>
            <w:r w:rsidRPr="00297284">
              <w:rPr>
                <w:rFonts w:eastAsia="Malgun Gothic"/>
                <w:lang w:eastAsia="ko-KR"/>
              </w:rPr>
              <w:t xml:space="preserve">potential enhancements on </w:t>
            </w:r>
            <w:r w:rsidRPr="00297284">
              <w:rPr>
                <w:rFonts w:eastAsia="Malgun Gothic"/>
                <w:bCs/>
                <w:lang w:eastAsia="ko-KR"/>
              </w:rPr>
              <w:t>dynamic/flexible TDD</w:t>
            </w:r>
            <w:bookmarkEnd w:id="1"/>
            <w:r w:rsidRPr="00297284">
              <w:rPr>
                <w:rFonts w:eastAsia="Malgun Gothic"/>
                <w:bCs/>
                <w:lang w:eastAsia="ko-KR"/>
              </w:rPr>
              <w:t xml:space="preserve"> (RAN1, RAN4).</w:t>
            </w:r>
          </w:p>
          <w:p w14:paraId="6F62E671" w14:textId="77777777" w:rsidR="00995884" w:rsidRPr="00297284"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GB" w:eastAsia="ko-KR"/>
              </w:rPr>
            </w:pPr>
            <w:r w:rsidRPr="00297284">
              <w:rPr>
                <w:rFonts w:eastAsia="Malgun Gothic"/>
                <w:bCs/>
                <w:sz w:val="20"/>
                <w:szCs w:val="20"/>
                <w:lang w:val="en-GB" w:eastAsia="ko-KR"/>
              </w:rPr>
              <w:t>Identify possible schemes and evaluate their feasibility and performances (RAN1).</w:t>
            </w:r>
          </w:p>
          <w:p w14:paraId="402F6E45" w14:textId="77777777" w:rsidR="00995884" w:rsidRPr="00297284"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GB" w:eastAsia="ko-KR"/>
              </w:rPr>
            </w:pPr>
            <w:r w:rsidRPr="00297284">
              <w:rPr>
                <w:rFonts w:eastAsia="Malgun Gothic"/>
                <w:bCs/>
                <w:sz w:val="20"/>
                <w:szCs w:val="20"/>
                <w:lang w:val="en-GB" w:eastAsia="ko-KR"/>
              </w:rPr>
              <w:t xml:space="preserve">Study inter-gNB and inter-UE CLI handling and identify solutions to manage them (RAN1). </w:t>
            </w:r>
          </w:p>
          <w:p w14:paraId="76A61239" w14:textId="77777777" w:rsidR="00995884" w:rsidRPr="00297284" w:rsidRDefault="00995884" w:rsidP="00995884">
            <w:pPr>
              <w:pStyle w:val="ListParagraph"/>
              <w:numPr>
                <w:ilvl w:val="1"/>
                <w:numId w:val="16"/>
              </w:numPr>
              <w:overflowPunct w:val="0"/>
              <w:autoSpaceDE w:val="0"/>
              <w:autoSpaceDN w:val="0"/>
              <w:adjustRightInd w:val="0"/>
              <w:spacing w:after="180"/>
              <w:jc w:val="both"/>
              <w:textAlignment w:val="baseline"/>
              <w:rPr>
                <w:rFonts w:eastAsia="Malgun Gothic"/>
                <w:bCs/>
                <w:sz w:val="20"/>
                <w:szCs w:val="20"/>
                <w:lang w:val="en-GB" w:eastAsia="ko-KR"/>
              </w:rPr>
            </w:pPr>
            <w:r w:rsidRPr="00297284">
              <w:rPr>
                <w:rFonts w:eastAsia="Malgun Gothic"/>
                <w:bCs/>
                <w:sz w:val="20"/>
                <w:szCs w:val="20"/>
                <w:lang w:val="en-GB" w:eastAsia="ko-KR"/>
              </w:rPr>
              <w:t xml:space="preserve">Consider intra-subband CLI and inter-subband CLI in case of the </w:t>
            </w:r>
            <w:r w:rsidRPr="00297284">
              <w:rPr>
                <w:rFonts w:eastAsia="Malgun Gothic"/>
                <w:sz w:val="20"/>
                <w:szCs w:val="20"/>
                <w:lang w:val="en-GB" w:eastAsia="ko-KR"/>
              </w:rPr>
              <w:t>subband non-overlapping full duplex</w:t>
            </w:r>
            <w:r w:rsidRPr="00297284">
              <w:rPr>
                <w:rFonts w:eastAsia="Malgun Gothic"/>
                <w:bCs/>
                <w:sz w:val="20"/>
                <w:szCs w:val="20"/>
                <w:lang w:val="en-GB" w:eastAsia="ko-KR"/>
              </w:rPr>
              <w:t>.</w:t>
            </w:r>
          </w:p>
          <w:p w14:paraId="5C1607A5" w14:textId="77706901" w:rsidR="00995884" w:rsidRPr="00297284"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GB" w:eastAsia="ko-KR"/>
              </w:rPr>
            </w:pPr>
            <w:r w:rsidRPr="00297284">
              <w:rPr>
                <w:rFonts w:eastAsia="Malgun Gothic"/>
                <w:bCs/>
                <w:sz w:val="20"/>
                <w:szCs w:val="20"/>
                <w:lang w:val="en-GB" w:eastAsia="ko-KR"/>
              </w:rPr>
              <w:t>Study the performance of the identified schemes as well as the impact on legacy operation assuming their co-existence in co-channel and adjacent channels (RAN1).</w:t>
            </w:r>
          </w:p>
          <w:p w14:paraId="5430375B" w14:textId="7C8E9FDA" w:rsidR="00995884" w:rsidRPr="00297284" w:rsidRDefault="00995884" w:rsidP="00995884">
            <w:pPr>
              <w:pStyle w:val="ListParagraph"/>
              <w:numPr>
                <w:ilvl w:val="0"/>
                <w:numId w:val="16"/>
              </w:numPr>
              <w:overflowPunct w:val="0"/>
              <w:autoSpaceDE w:val="0"/>
              <w:autoSpaceDN w:val="0"/>
              <w:adjustRightInd w:val="0"/>
              <w:spacing w:after="180"/>
              <w:textAlignment w:val="baseline"/>
              <w:rPr>
                <w:rFonts w:eastAsia="Malgun Gothic"/>
                <w:bCs/>
                <w:sz w:val="20"/>
                <w:szCs w:val="20"/>
                <w:lang w:val="en-GB" w:eastAsia="ko-KR"/>
              </w:rPr>
            </w:pPr>
            <w:r w:rsidRPr="00297284">
              <w:rPr>
                <w:rFonts w:eastAsia="Malgun Gothic"/>
                <w:bCs/>
                <w:sz w:val="20"/>
                <w:szCs w:val="20"/>
                <w:lang w:val="en-GB" w:eastAsia="ko-KR"/>
              </w:rPr>
              <w:t>Study the feasibility of and impact on RF requirements considering adjacent-channel co-existence with the legacy operation (RAN4).</w:t>
            </w:r>
          </w:p>
          <w:p w14:paraId="58C885E8" w14:textId="77777777" w:rsidR="00995884" w:rsidRPr="00297284"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GB" w:eastAsia="ko-KR"/>
              </w:rPr>
            </w:pPr>
            <w:r w:rsidRPr="00297284">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297284" w:rsidRDefault="00995884" w:rsidP="00995884">
            <w:pPr>
              <w:pStyle w:val="ListParagraph"/>
              <w:numPr>
                <w:ilvl w:val="0"/>
                <w:numId w:val="18"/>
              </w:numPr>
              <w:overflowPunct w:val="0"/>
              <w:autoSpaceDE w:val="0"/>
              <w:autoSpaceDN w:val="0"/>
              <w:adjustRightInd w:val="0"/>
              <w:spacing w:after="180"/>
              <w:jc w:val="both"/>
              <w:textAlignment w:val="baseline"/>
              <w:rPr>
                <w:rFonts w:eastAsia="Malgun Gothic"/>
                <w:bCs/>
                <w:sz w:val="20"/>
                <w:szCs w:val="20"/>
                <w:lang w:val="en-GB" w:eastAsia="ko-KR"/>
              </w:rPr>
            </w:pPr>
            <w:r w:rsidRPr="00297284">
              <w:rPr>
                <w:rFonts w:eastAsia="Malgun Gothic"/>
                <w:bCs/>
                <w:sz w:val="20"/>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BC8D804" w14:textId="77777777" w:rsidR="00995884" w:rsidRPr="00297284" w:rsidRDefault="00995884" w:rsidP="00B0078E">
            <w:pPr>
              <w:pStyle w:val="ListParagraph"/>
              <w:numPr>
                <w:ilvl w:val="0"/>
                <w:numId w:val="18"/>
              </w:numPr>
              <w:overflowPunct w:val="0"/>
              <w:autoSpaceDE w:val="0"/>
              <w:autoSpaceDN w:val="0"/>
              <w:adjustRightInd w:val="0"/>
              <w:spacing w:after="60"/>
              <w:ind w:left="1077" w:hanging="357"/>
              <w:jc w:val="both"/>
              <w:textAlignment w:val="baseline"/>
              <w:rPr>
                <w:sz w:val="20"/>
                <w:szCs w:val="20"/>
                <w:lang w:val="en-GB"/>
              </w:rPr>
            </w:pPr>
            <w:r w:rsidRPr="00297284">
              <w:rPr>
                <w:sz w:val="20"/>
                <w:szCs w:val="20"/>
                <w:lang w:val="en-GB"/>
              </w:rPr>
              <w:t>Summarize the regulatory aspects that have to be considered for deploying the identified duplex enhancements in TDD unpaired spectrum (RAN4).</w:t>
            </w:r>
          </w:p>
          <w:p w14:paraId="3313D903" w14:textId="77777777" w:rsidR="00995884" w:rsidRPr="00297284" w:rsidRDefault="00995884" w:rsidP="001E3CE8">
            <w:pPr>
              <w:spacing w:after="0"/>
            </w:pPr>
            <w:r w:rsidRPr="00297284">
              <w:rPr>
                <w:rFonts w:eastAsia="Malgun Gothic"/>
                <w:bCs/>
                <w:lang w:eastAsia="ko-KR"/>
              </w:rPr>
              <w:t>Note: For potential enhancements on dynamic/flexible TDD, utilize the outcome of discussion in Rel-15 and Rel-16 while avoiding the repetition of the same discussion.</w:t>
            </w:r>
          </w:p>
        </w:tc>
      </w:tr>
    </w:tbl>
    <w:p w14:paraId="628C33FE" w14:textId="186F1CD8" w:rsidR="009E495D" w:rsidRPr="00297284" w:rsidRDefault="009E5D4C" w:rsidP="009E495D">
      <w:pPr>
        <w:spacing w:before="240"/>
        <w:jc w:val="both"/>
      </w:pPr>
      <w:bookmarkStart w:id="2" w:name="_Hlk510705081"/>
      <w:r w:rsidRPr="009E5D4C">
        <w:t xml:space="preserve">In this contribution, </w:t>
      </w:r>
      <w:r>
        <w:t xml:space="preserve">first, </w:t>
      </w:r>
      <w:r w:rsidRPr="009E5D4C">
        <w:t xml:space="preserve">we </w:t>
      </w:r>
      <w:r>
        <w:t>address</w:t>
      </w:r>
      <w:r w:rsidRPr="009E5D4C">
        <w:t xml:space="preserve"> BWP configuration </w:t>
      </w:r>
      <w:r>
        <w:t xml:space="preserve">in SBFD, downlink and uplink frequency domain resource </w:t>
      </w:r>
      <w:r w:rsidRPr="001E3CE8">
        <w:t>allocation over partitioned slots/symbols, then we examine possible enhancements to UE-UE CLI measurement in SBFD</w:t>
      </w:r>
      <w:r w:rsidR="00910BE4" w:rsidRPr="001E3CE8">
        <w:t xml:space="preserve"> network scenario</w:t>
      </w:r>
      <w:r w:rsidRPr="001E3CE8">
        <w:t>.</w:t>
      </w:r>
    </w:p>
    <w:bookmarkEnd w:id="2"/>
    <w:p w14:paraId="10445A01" w14:textId="13CC1BA3" w:rsidR="00885580" w:rsidRPr="00297284" w:rsidRDefault="002B609D" w:rsidP="001B233D">
      <w:pPr>
        <w:pStyle w:val="Heading1"/>
        <w:ind w:left="431" w:hanging="431"/>
      </w:pPr>
      <w:r w:rsidRPr="00297284">
        <w:t>Discussion</w:t>
      </w:r>
    </w:p>
    <w:p w14:paraId="23DDD14A" w14:textId="2F1CE971" w:rsidR="00A7051B" w:rsidRDefault="00B77611" w:rsidP="00A7051B">
      <w:pPr>
        <w:pStyle w:val="Heading2"/>
      </w:pPr>
      <w:r w:rsidRPr="00297284">
        <w:t>SBFD partition signalling</w:t>
      </w:r>
    </w:p>
    <w:p w14:paraId="033452B2" w14:textId="7544401D" w:rsidR="00B0078E" w:rsidRPr="00B0078E" w:rsidRDefault="00B0078E" w:rsidP="00B0078E">
      <w:r>
        <w:rPr>
          <w:lang w:val="en-US" w:eastAsia="zh-CN"/>
        </w:rPr>
        <w:t>In RAN1#109-e meeting, RAN1 reached the following agreements and conclusions on SBFD scheme.</w:t>
      </w:r>
    </w:p>
    <w:tbl>
      <w:tblPr>
        <w:tblStyle w:val="TableGrid"/>
        <w:tblW w:w="0" w:type="auto"/>
        <w:tblLook w:val="04A0" w:firstRow="1" w:lastRow="0" w:firstColumn="1" w:lastColumn="0" w:noHBand="0" w:noVBand="1"/>
      </w:tblPr>
      <w:tblGrid>
        <w:gridCol w:w="9629"/>
      </w:tblGrid>
      <w:tr w:rsidR="009E495D" w:rsidRPr="00297284" w14:paraId="4CF4C1E3" w14:textId="77777777" w:rsidTr="009E495D">
        <w:tc>
          <w:tcPr>
            <w:tcW w:w="9629" w:type="dxa"/>
          </w:tcPr>
          <w:p w14:paraId="72EBECEB" w14:textId="77777777" w:rsidR="00B77611" w:rsidRPr="00297284" w:rsidRDefault="00B77611" w:rsidP="00B77611">
            <w:pPr>
              <w:spacing w:after="0"/>
              <w:rPr>
                <w:sz w:val="12"/>
                <w:szCs w:val="12"/>
                <w:highlight w:val="green"/>
                <w:lang w:eastAsia="ko-KR"/>
              </w:rPr>
            </w:pPr>
          </w:p>
          <w:p w14:paraId="2E43552D" w14:textId="22640295" w:rsidR="009E495D" w:rsidRPr="00297284" w:rsidRDefault="009E495D" w:rsidP="00B0078E">
            <w:pPr>
              <w:spacing w:after="0"/>
              <w:rPr>
                <w:highlight w:val="green"/>
                <w:lang w:eastAsia="ko-KR"/>
              </w:rPr>
            </w:pPr>
            <w:r w:rsidRPr="00297284">
              <w:rPr>
                <w:highlight w:val="green"/>
                <w:lang w:eastAsia="ko-KR"/>
              </w:rPr>
              <w:t>Agreement</w:t>
            </w:r>
          </w:p>
          <w:p w14:paraId="48B52DE9" w14:textId="15F02A77" w:rsidR="009E495D" w:rsidRDefault="009E495D" w:rsidP="00EC4308">
            <w:pPr>
              <w:spacing w:after="120"/>
              <w:rPr>
                <w:lang w:eastAsia="ko-KR"/>
              </w:rPr>
            </w:pPr>
            <w:r w:rsidRPr="00297284">
              <w:rPr>
                <w:lang w:eastAsia="ko-KR"/>
              </w:rPr>
              <w:t xml:space="preserve">Study </w:t>
            </w:r>
            <w:r w:rsidRPr="00297284">
              <w:rPr>
                <w:highlight w:val="yellow"/>
                <w:lang w:eastAsia="ko-KR"/>
              </w:rPr>
              <w:t>whether/how to inform the UE</w:t>
            </w:r>
            <w:r w:rsidRPr="00297284">
              <w:rPr>
                <w:lang w:eastAsia="ko-KR"/>
              </w:rPr>
              <w:t xml:space="preserve"> of the time and/or frequency location of subbands that gNB would use for SBFD operation.</w:t>
            </w:r>
          </w:p>
          <w:p w14:paraId="02F29563" w14:textId="02397B38" w:rsidR="009E495D" w:rsidRPr="00297284" w:rsidRDefault="009E495D" w:rsidP="00B0078E">
            <w:pPr>
              <w:spacing w:after="0"/>
              <w:rPr>
                <w:highlight w:val="green"/>
                <w:lang w:eastAsia="ko-KR"/>
              </w:rPr>
            </w:pPr>
            <w:r w:rsidRPr="00297284">
              <w:rPr>
                <w:highlight w:val="green"/>
                <w:lang w:eastAsia="ko-KR"/>
              </w:rPr>
              <w:t>Agreement</w:t>
            </w:r>
          </w:p>
          <w:p w14:paraId="2F59AD70" w14:textId="5FF625E7" w:rsidR="009E495D" w:rsidRDefault="009E495D" w:rsidP="00EC4308">
            <w:pPr>
              <w:spacing w:after="120"/>
              <w:rPr>
                <w:rFonts w:eastAsia="Malgun Gothic"/>
                <w:lang w:eastAsia="zh-CN"/>
              </w:rPr>
            </w:pPr>
            <w:r w:rsidRPr="00297284">
              <w:rPr>
                <w:rFonts w:eastAsia="Malgun Gothic"/>
                <w:lang w:eastAsia="zh-CN"/>
              </w:rPr>
              <w:t xml:space="preserve">At least study SBFD operation </w:t>
            </w:r>
            <w:r w:rsidRPr="00297284">
              <w:rPr>
                <w:rFonts w:eastAsia="Malgun Gothic"/>
                <w:highlight w:val="yellow"/>
                <w:lang w:eastAsia="zh-CN"/>
              </w:rPr>
              <w:t>within a TDD carrier</w:t>
            </w:r>
            <w:r w:rsidRPr="00297284">
              <w:rPr>
                <w:rFonts w:eastAsia="Malgun Gothic"/>
                <w:lang w:eastAsia="zh-CN"/>
              </w:rPr>
              <w:t>.</w:t>
            </w:r>
          </w:p>
          <w:p w14:paraId="50EDA8FA" w14:textId="77777777" w:rsidR="00C56C73" w:rsidRPr="00297284" w:rsidRDefault="00C56C73" w:rsidP="00B0078E">
            <w:pPr>
              <w:spacing w:after="0"/>
              <w:rPr>
                <w:rFonts w:eastAsia="Malgun Gothic"/>
                <w:bCs/>
                <w:color w:val="000000"/>
                <w:u w:val="single"/>
                <w:lang w:eastAsia="zh-CN"/>
              </w:rPr>
            </w:pPr>
            <w:r w:rsidRPr="00297284">
              <w:rPr>
                <w:rFonts w:eastAsia="Malgun Gothic"/>
                <w:bCs/>
                <w:color w:val="000000"/>
                <w:u w:val="single"/>
                <w:lang w:eastAsia="zh-CN"/>
              </w:rPr>
              <w:t>Conclusion</w:t>
            </w:r>
          </w:p>
          <w:p w14:paraId="6A3B9523" w14:textId="35607C78" w:rsidR="00B0078E" w:rsidRDefault="00C56C73" w:rsidP="00EC4308">
            <w:pPr>
              <w:spacing w:after="120"/>
              <w:rPr>
                <w:rFonts w:eastAsia="Malgun Gothic"/>
                <w:lang w:eastAsia="zh-CN"/>
              </w:rPr>
            </w:pPr>
            <w:r w:rsidRPr="00297284">
              <w:rPr>
                <w:rFonts w:eastAsia="Malgun Gothic"/>
                <w:lang w:eastAsia="zh-CN"/>
              </w:rPr>
              <w:t xml:space="preserve">For discussion purpose only, </w:t>
            </w:r>
            <w:r w:rsidRPr="00297284">
              <w:rPr>
                <w:rFonts w:eastAsia="Malgun Gothic"/>
                <w:highlight w:val="yellow"/>
                <w:lang w:eastAsia="zh-CN"/>
              </w:rPr>
              <w:t>SBFD symbol is defined</w:t>
            </w:r>
            <w:r w:rsidRPr="00297284">
              <w:rPr>
                <w:rFonts w:eastAsia="Malgun Gothic"/>
                <w:lang w:eastAsia="zh-CN"/>
              </w:rPr>
              <w:t xml:space="preserve"> as symbol with subbands that </w:t>
            </w:r>
            <w:r w:rsidRPr="00297284">
              <w:rPr>
                <w:rFonts w:eastAsia="Malgun Gothic"/>
                <w:highlight w:val="yellow"/>
                <w:lang w:eastAsia="zh-CN"/>
              </w:rPr>
              <w:t>gNB</w:t>
            </w:r>
            <w:r w:rsidRPr="00297284">
              <w:rPr>
                <w:rFonts w:eastAsia="Malgun Gothic"/>
                <w:lang w:eastAsia="zh-CN"/>
              </w:rPr>
              <w:t xml:space="preserve"> would use for SBFD operation.</w:t>
            </w:r>
          </w:p>
          <w:p w14:paraId="7CB9E78A" w14:textId="77777777" w:rsidR="00C56C73" w:rsidRPr="00297284" w:rsidRDefault="00C56C73" w:rsidP="00B0078E">
            <w:pPr>
              <w:spacing w:after="0"/>
              <w:rPr>
                <w:rFonts w:eastAsia="Malgun Gothic"/>
                <w:bCs/>
                <w:color w:val="000000"/>
                <w:u w:val="single"/>
                <w:lang w:eastAsia="zh-CN"/>
              </w:rPr>
            </w:pPr>
            <w:r w:rsidRPr="00297284">
              <w:rPr>
                <w:rFonts w:eastAsia="Malgun Gothic"/>
                <w:bCs/>
                <w:color w:val="000000"/>
                <w:u w:val="single"/>
                <w:lang w:eastAsia="zh-CN"/>
              </w:rPr>
              <w:lastRenderedPageBreak/>
              <w:t>Conclusion</w:t>
            </w:r>
          </w:p>
          <w:p w14:paraId="2EFE1DBD" w14:textId="565C9FB4" w:rsidR="00C56C73" w:rsidRDefault="00C56C73" w:rsidP="00EC4308">
            <w:pPr>
              <w:spacing w:after="120"/>
              <w:rPr>
                <w:rFonts w:eastAsia="Malgun Gothic"/>
              </w:rPr>
            </w:pPr>
            <w:r w:rsidRPr="00297284">
              <w:rPr>
                <w:rFonts w:eastAsia="Malgun Gothic"/>
                <w:lang w:eastAsia="zh-CN"/>
              </w:rPr>
              <w:t xml:space="preserve">For discussion purpose, for SBFD operation within a TDD carrier, </w:t>
            </w:r>
            <w:r w:rsidRPr="00297284">
              <w:rPr>
                <w:rFonts w:eastAsia="Malgun Gothic"/>
              </w:rPr>
              <w:t xml:space="preserve">a SBFD </w:t>
            </w:r>
            <w:r w:rsidRPr="00297284">
              <w:rPr>
                <w:rFonts w:eastAsia="Malgun Gothic"/>
                <w:highlight w:val="yellow"/>
              </w:rPr>
              <w:t>subband consists of</w:t>
            </w:r>
            <w:r w:rsidRPr="00297284">
              <w:rPr>
                <w:rFonts w:eastAsia="Malgun Gothic"/>
              </w:rPr>
              <w:t xml:space="preserve"> 1 RB or a set of consecutive RBs for the same transmission direction.</w:t>
            </w:r>
          </w:p>
          <w:p w14:paraId="1E5F7D8E" w14:textId="08276CD8" w:rsidR="009E495D" w:rsidRPr="00297284" w:rsidRDefault="009E495D" w:rsidP="00B0078E">
            <w:pPr>
              <w:spacing w:after="0"/>
              <w:rPr>
                <w:bCs/>
                <w:highlight w:val="green"/>
                <w:lang w:eastAsia="ko-KR"/>
              </w:rPr>
            </w:pPr>
            <w:r w:rsidRPr="00297284">
              <w:rPr>
                <w:bCs/>
                <w:highlight w:val="green"/>
                <w:lang w:eastAsia="ko-KR"/>
              </w:rPr>
              <w:t>Agreement</w:t>
            </w:r>
          </w:p>
          <w:p w14:paraId="50606F3A" w14:textId="77777777" w:rsidR="009E495D" w:rsidRPr="00297284" w:rsidRDefault="009E495D" w:rsidP="00B0078E">
            <w:pPr>
              <w:spacing w:after="0"/>
              <w:rPr>
                <w:rFonts w:eastAsia="Malgun Gothic"/>
                <w:lang w:eastAsia="zh-CN"/>
              </w:rPr>
            </w:pPr>
            <w:r w:rsidRPr="00297284">
              <w:rPr>
                <w:rFonts w:eastAsia="Malgun Gothic"/>
                <w:lang w:eastAsia="zh-CN"/>
              </w:rPr>
              <w:t xml:space="preserve">The </w:t>
            </w:r>
            <w:r w:rsidRPr="00297284">
              <w:rPr>
                <w:rFonts w:eastAsia="Malgun Gothic"/>
                <w:highlight w:val="yellow"/>
                <w:lang w:eastAsia="zh-CN"/>
              </w:rPr>
              <w:t>time and frequency location of subbands</w:t>
            </w:r>
            <w:r w:rsidRPr="00297284">
              <w:rPr>
                <w:rFonts w:eastAsia="Malgun Gothic"/>
                <w:lang w:eastAsia="zh-CN"/>
              </w:rPr>
              <w:t xml:space="preserve"> within a TDD carrier are </w:t>
            </w:r>
            <w:r w:rsidRPr="00297284">
              <w:rPr>
                <w:rFonts w:eastAsia="Malgun Gothic"/>
                <w:highlight w:val="yellow"/>
                <w:lang w:eastAsia="zh-CN"/>
              </w:rPr>
              <w:t>not fixed</w:t>
            </w:r>
            <w:r w:rsidRPr="00297284">
              <w:rPr>
                <w:rFonts w:eastAsia="Malgun Gothic"/>
                <w:lang w:eastAsia="zh-CN"/>
              </w:rPr>
              <w:t xml:space="preserve"> in the specification.</w:t>
            </w:r>
          </w:p>
          <w:p w14:paraId="1E97D838" w14:textId="77777777" w:rsidR="009E495D" w:rsidRPr="00297284" w:rsidRDefault="009E495D" w:rsidP="00B0078E">
            <w:pPr>
              <w:pStyle w:val="ListParagraph"/>
              <w:numPr>
                <w:ilvl w:val="0"/>
                <w:numId w:val="20"/>
              </w:numPr>
              <w:tabs>
                <w:tab w:val="num" w:pos="360"/>
              </w:tabs>
              <w:rPr>
                <w:sz w:val="20"/>
                <w:szCs w:val="20"/>
                <w:lang w:val="en-GB" w:eastAsia="en-US"/>
              </w:rPr>
            </w:pPr>
            <w:r w:rsidRPr="00297284">
              <w:rPr>
                <w:sz w:val="20"/>
                <w:szCs w:val="20"/>
                <w:lang w:val="en-GB"/>
              </w:rPr>
              <w:t xml:space="preserve">Subject to any RAN4 guidance on minimum or maximum subband and guardband size and subband location within TDD carrier. </w:t>
            </w:r>
          </w:p>
          <w:p w14:paraId="19CF082F" w14:textId="77777777" w:rsidR="009E495D" w:rsidRPr="00297284" w:rsidRDefault="009E495D" w:rsidP="00B0078E">
            <w:pPr>
              <w:pStyle w:val="ListParagraph"/>
              <w:numPr>
                <w:ilvl w:val="0"/>
                <w:numId w:val="20"/>
              </w:numPr>
              <w:tabs>
                <w:tab w:val="num" w:pos="360"/>
              </w:tabs>
              <w:rPr>
                <w:sz w:val="20"/>
                <w:szCs w:val="20"/>
                <w:lang w:val="en-GB"/>
              </w:rPr>
            </w:pPr>
            <w:r w:rsidRPr="00297284">
              <w:rPr>
                <w:sz w:val="20"/>
                <w:szCs w:val="20"/>
                <w:lang w:val="en-GB"/>
              </w:rPr>
              <w:t>Note that whether the time and/or frequency location of subbands are informed to UE is separately discussed.</w:t>
            </w:r>
          </w:p>
          <w:p w14:paraId="48A7159B" w14:textId="56750E5A" w:rsidR="00B77611" w:rsidRPr="00297284" w:rsidRDefault="00B77611" w:rsidP="00B77611">
            <w:pPr>
              <w:spacing w:after="0"/>
              <w:rPr>
                <w:sz w:val="12"/>
                <w:szCs w:val="12"/>
              </w:rPr>
            </w:pPr>
          </w:p>
        </w:tc>
      </w:tr>
    </w:tbl>
    <w:p w14:paraId="2F3141B5" w14:textId="044AEEA9" w:rsidR="00874418" w:rsidRDefault="00B33BEE" w:rsidP="00EC4308">
      <w:pPr>
        <w:spacing w:before="120"/>
        <w:jc w:val="both"/>
        <w:rPr>
          <w:bdr w:val="none" w:sz="0" w:space="0" w:color="auto" w:frame="1"/>
        </w:rPr>
      </w:pPr>
      <w:r w:rsidRPr="00B33BEE">
        <w:rPr>
          <w:bdr w:val="none" w:sz="0" w:space="0" w:color="auto" w:frame="1"/>
        </w:rPr>
        <w:lastRenderedPageBreak/>
        <w:t>SBFD is transparent to legacy UE</w:t>
      </w:r>
      <w:r w:rsidR="00C20FB2">
        <w:rPr>
          <w:bdr w:val="none" w:sz="0" w:space="0" w:color="auto" w:frame="1"/>
        </w:rPr>
        <w:t>s</w:t>
      </w:r>
      <w:r w:rsidRPr="00B33BEE">
        <w:rPr>
          <w:bdr w:val="none" w:sz="0" w:space="0" w:color="auto" w:frame="1"/>
        </w:rPr>
        <w:t>.</w:t>
      </w:r>
      <w:r>
        <w:rPr>
          <w:bdr w:val="none" w:sz="0" w:space="0" w:color="auto" w:frame="1"/>
        </w:rPr>
        <w:t xml:space="preserve"> </w:t>
      </w:r>
      <w:r w:rsidR="00AF16F2" w:rsidRPr="00AF16F2">
        <w:rPr>
          <w:bdr w:val="none" w:sz="0" w:space="0" w:color="auto" w:frame="1"/>
        </w:rPr>
        <w:t xml:space="preserve">SBFD symbols/slots </w:t>
      </w:r>
      <w:r w:rsidR="00C20FB2">
        <w:rPr>
          <w:bdr w:val="none" w:sz="0" w:space="0" w:color="auto" w:frame="1"/>
        </w:rPr>
        <w:t>can be</w:t>
      </w:r>
      <w:r w:rsidR="00AF16F2" w:rsidRPr="00AF16F2">
        <w:rPr>
          <w:bdr w:val="none" w:sz="0" w:space="0" w:color="auto" w:frame="1"/>
        </w:rPr>
        <w:t xml:space="preserve"> </w:t>
      </w:r>
      <w:r w:rsidR="00AF16F2">
        <w:rPr>
          <w:bdr w:val="none" w:sz="0" w:space="0" w:color="auto" w:frame="1"/>
        </w:rPr>
        <w:t>configured</w:t>
      </w:r>
      <w:r w:rsidR="00AF16F2" w:rsidRPr="00AF16F2">
        <w:rPr>
          <w:bdr w:val="none" w:sz="0" w:space="0" w:color="auto" w:frame="1"/>
        </w:rPr>
        <w:t xml:space="preserve"> as ‘D’, ‘U’ or ‘F’ to legacy UE</w:t>
      </w:r>
      <w:r w:rsidR="00AF16F2">
        <w:rPr>
          <w:bdr w:val="none" w:sz="0" w:space="0" w:color="auto" w:frame="1"/>
        </w:rPr>
        <w:t xml:space="preserve">s. </w:t>
      </w:r>
      <w:r w:rsidR="0027314F">
        <w:rPr>
          <w:bdr w:val="none" w:sz="0" w:space="0" w:color="auto" w:frame="1"/>
        </w:rPr>
        <w:t>TDD c</w:t>
      </w:r>
      <w:r w:rsidR="00AF16F2">
        <w:rPr>
          <w:bdr w:val="none" w:sz="0" w:space="0" w:color="auto" w:frame="1"/>
        </w:rPr>
        <w:t>onfiguration of ‘D’ or ‘U’</w:t>
      </w:r>
      <w:r w:rsidR="0027314F">
        <w:rPr>
          <w:bdr w:val="none" w:sz="0" w:space="0" w:color="auto" w:frame="1"/>
        </w:rPr>
        <w:t xml:space="preserve"> symbols</w:t>
      </w:r>
      <w:r w:rsidR="00AF16F2">
        <w:rPr>
          <w:bdr w:val="none" w:sz="0" w:space="0" w:color="auto" w:frame="1"/>
        </w:rPr>
        <w:t xml:space="preserve"> </w:t>
      </w:r>
      <w:r w:rsidR="0027314F">
        <w:rPr>
          <w:bdr w:val="none" w:sz="0" w:space="0" w:color="auto" w:frame="1"/>
        </w:rPr>
        <w:t xml:space="preserve">– </w:t>
      </w:r>
      <w:r w:rsidR="00AF16F2">
        <w:rPr>
          <w:bdr w:val="none" w:sz="0" w:space="0" w:color="auto" w:frame="1"/>
        </w:rPr>
        <w:t xml:space="preserve">as well as indication of ‘D’ or ‘U’ </w:t>
      </w:r>
      <w:r w:rsidR="0027314F">
        <w:rPr>
          <w:bdr w:val="none" w:sz="0" w:space="0" w:color="auto" w:frame="1"/>
        </w:rPr>
        <w:t xml:space="preserve">directions </w:t>
      </w:r>
      <w:r w:rsidR="00AF16F2">
        <w:rPr>
          <w:bdr w:val="none" w:sz="0" w:space="0" w:color="auto" w:frame="1"/>
        </w:rPr>
        <w:t>through SFI DCI</w:t>
      </w:r>
      <w:r w:rsidR="0027314F">
        <w:rPr>
          <w:bdr w:val="none" w:sz="0" w:space="0" w:color="auto" w:frame="1"/>
        </w:rPr>
        <w:t xml:space="preserve"> –</w:t>
      </w:r>
      <w:r w:rsidR="00AF16F2">
        <w:rPr>
          <w:bdr w:val="none" w:sz="0" w:space="0" w:color="auto" w:frame="1"/>
        </w:rPr>
        <w:t xml:space="preserve"> is not expected</w:t>
      </w:r>
      <w:r w:rsidR="00C20FB2">
        <w:rPr>
          <w:bdr w:val="none" w:sz="0" w:space="0" w:color="auto" w:frame="1"/>
        </w:rPr>
        <w:t xml:space="preserve"> by the UE</w:t>
      </w:r>
      <w:r w:rsidR="00AF16F2">
        <w:rPr>
          <w:bdr w:val="none" w:sz="0" w:space="0" w:color="auto" w:frame="1"/>
        </w:rPr>
        <w:t xml:space="preserve"> to conflict with </w:t>
      </w:r>
      <w:r w:rsidR="0027314F">
        <w:rPr>
          <w:bdr w:val="none" w:sz="0" w:space="0" w:color="auto" w:frame="1"/>
        </w:rPr>
        <w:t xml:space="preserve">any symbols in a set of symbols allocated to </w:t>
      </w:r>
      <w:r w:rsidR="00D619B0">
        <w:rPr>
          <w:bdr w:val="none" w:sz="0" w:space="0" w:color="auto" w:frame="1"/>
        </w:rPr>
        <w:t>cell-level configurations (SSB, CORESET#0, valid PRACH)</w:t>
      </w:r>
      <w:r w:rsidR="0027314F">
        <w:rPr>
          <w:bdr w:val="none" w:sz="0" w:space="0" w:color="auto" w:frame="1"/>
        </w:rPr>
        <w:t>, while</w:t>
      </w:r>
      <w:r w:rsidR="00D619B0">
        <w:rPr>
          <w:bdr w:val="none" w:sz="0" w:space="0" w:color="auto" w:frame="1"/>
        </w:rPr>
        <w:t xml:space="preserve"> </w:t>
      </w:r>
      <w:r w:rsidR="00C20FB2">
        <w:rPr>
          <w:bdr w:val="none" w:sz="0" w:space="0" w:color="auto" w:frame="1"/>
        </w:rPr>
        <w:t xml:space="preserve">also cause </w:t>
      </w:r>
      <w:r w:rsidR="00D619B0">
        <w:rPr>
          <w:bdr w:val="none" w:sz="0" w:space="0" w:color="auto" w:frame="1"/>
        </w:rPr>
        <w:t>d</w:t>
      </w:r>
      <w:r w:rsidR="009430F9">
        <w:rPr>
          <w:bdr w:val="none" w:sz="0" w:space="0" w:color="auto" w:frame="1"/>
        </w:rPr>
        <w:t>eprioritizing</w:t>
      </w:r>
      <w:r w:rsidR="00D619B0">
        <w:rPr>
          <w:bdr w:val="none" w:sz="0" w:space="0" w:color="auto" w:frame="1"/>
        </w:rPr>
        <w:t xml:space="preserve"> dedicated RRC configured transmission</w:t>
      </w:r>
      <w:r w:rsidR="007A3095">
        <w:rPr>
          <w:bdr w:val="none" w:sz="0" w:space="0" w:color="auto" w:frame="1"/>
        </w:rPr>
        <w:t>s</w:t>
      </w:r>
      <w:r w:rsidR="00D619B0">
        <w:rPr>
          <w:bdr w:val="none" w:sz="0" w:space="0" w:color="auto" w:frame="1"/>
        </w:rPr>
        <w:t>, reception</w:t>
      </w:r>
      <w:r w:rsidR="007A3095">
        <w:rPr>
          <w:bdr w:val="none" w:sz="0" w:space="0" w:color="auto" w:frame="1"/>
        </w:rPr>
        <w:t>s</w:t>
      </w:r>
      <w:r w:rsidR="00D619B0">
        <w:rPr>
          <w:bdr w:val="none" w:sz="0" w:space="0" w:color="auto" w:frame="1"/>
        </w:rPr>
        <w:t>, PDCCH monitoring</w:t>
      </w:r>
      <w:r w:rsidR="00C20FB2">
        <w:rPr>
          <w:bdr w:val="none" w:sz="0" w:space="0" w:color="auto" w:frame="1"/>
        </w:rPr>
        <w:t xml:space="preserve"> or</w:t>
      </w:r>
      <w:r w:rsidR="00D619B0">
        <w:rPr>
          <w:bdr w:val="none" w:sz="0" w:space="0" w:color="auto" w:frame="1"/>
        </w:rPr>
        <w:t xml:space="preserve"> measurement (w/o SMTC) or repetition</w:t>
      </w:r>
      <w:r w:rsidR="00C20FB2">
        <w:rPr>
          <w:bdr w:val="none" w:sz="0" w:space="0" w:color="auto" w:frame="1"/>
        </w:rPr>
        <w:t xml:space="preserve"> instances</w:t>
      </w:r>
      <w:r w:rsidR="00D619B0">
        <w:rPr>
          <w:bdr w:val="none" w:sz="0" w:space="0" w:color="auto" w:frame="1"/>
        </w:rPr>
        <w:t xml:space="preserve"> </w:t>
      </w:r>
      <w:r w:rsidR="007A3095">
        <w:rPr>
          <w:bdr w:val="none" w:sz="0" w:space="0" w:color="auto" w:frame="1"/>
        </w:rPr>
        <w:t>(</w:t>
      </w:r>
      <w:r w:rsidR="00D619B0">
        <w:rPr>
          <w:bdr w:val="none" w:sz="0" w:space="0" w:color="auto" w:frame="1"/>
        </w:rPr>
        <w:t xml:space="preserve">of a dynamic or semi-static </w:t>
      </w:r>
      <w:r w:rsidR="009430F9">
        <w:rPr>
          <w:bdr w:val="none" w:sz="0" w:space="0" w:color="auto" w:frame="1"/>
        </w:rPr>
        <w:t>transmission</w:t>
      </w:r>
      <w:r w:rsidR="007A3095">
        <w:rPr>
          <w:bdr w:val="none" w:sz="0" w:space="0" w:color="auto" w:frame="1"/>
        </w:rPr>
        <w:t>/reception)</w:t>
      </w:r>
      <w:r w:rsidR="009430F9">
        <w:rPr>
          <w:bdr w:val="none" w:sz="0" w:space="0" w:color="auto" w:frame="1"/>
        </w:rPr>
        <w:t xml:space="preserve"> </w:t>
      </w:r>
      <w:r w:rsidR="007A3095">
        <w:rPr>
          <w:bdr w:val="none" w:sz="0" w:space="0" w:color="auto" w:frame="1"/>
        </w:rPr>
        <w:t>which would conflict with the link direction</w:t>
      </w:r>
      <w:r w:rsidR="00D619B0">
        <w:rPr>
          <w:bdr w:val="none" w:sz="0" w:space="0" w:color="auto" w:frame="1"/>
        </w:rPr>
        <w:t>.</w:t>
      </w:r>
      <w:r w:rsidR="00B40197">
        <w:rPr>
          <w:bdr w:val="none" w:sz="0" w:space="0" w:color="auto" w:frame="1"/>
        </w:rPr>
        <w:t xml:space="preserve"> (Overlap with</w:t>
      </w:r>
      <w:r w:rsidR="00B40197" w:rsidRPr="00B40197">
        <w:rPr>
          <w:bdr w:val="none" w:sz="0" w:space="0" w:color="auto" w:frame="1"/>
        </w:rPr>
        <w:t xml:space="preserve"> SFI indicated ‘F’ symbols </w:t>
      </w:r>
      <w:r w:rsidR="00B40197">
        <w:rPr>
          <w:bdr w:val="none" w:sz="0" w:space="0" w:color="auto" w:frame="1"/>
        </w:rPr>
        <w:t>also causes de</w:t>
      </w:r>
      <w:r w:rsidR="00936084">
        <w:rPr>
          <w:bdr w:val="none" w:sz="0" w:space="0" w:color="auto" w:frame="1"/>
        </w:rPr>
        <w:t>-</w:t>
      </w:r>
      <w:r w:rsidR="00B40197">
        <w:rPr>
          <w:bdr w:val="none" w:sz="0" w:space="0" w:color="auto" w:frame="1"/>
        </w:rPr>
        <w:t>prioritization in these cases.)</w:t>
      </w:r>
      <w:r w:rsidR="00607AC7">
        <w:rPr>
          <w:bdr w:val="none" w:sz="0" w:space="0" w:color="auto" w:frame="1"/>
        </w:rPr>
        <w:t xml:space="preserve"> </w:t>
      </w:r>
    </w:p>
    <w:p w14:paraId="6C0B18D9" w14:textId="070AEA28" w:rsidR="001610C5" w:rsidRDefault="007A3095" w:rsidP="00EC4308">
      <w:pPr>
        <w:spacing w:after="120"/>
        <w:jc w:val="both"/>
        <w:rPr>
          <w:bdr w:val="none" w:sz="0" w:space="0" w:color="auto" w:frame="1"/>
        </w:rPr>
      </w:pPr>
      <w:r>
        <w:rPr>
          <w:bdr w:val="none" w:sz="0" w:space="0" w:color="auto" w:frame="1"/>
        </w:rPr>
        <w:t xml:space="preserve">In </w:t>
      </w:r>
      <w:r w:rsidR="00E3621E">
        <w:rPr>
          <w:bdr w:val="none" w:sz="0" w:space="0" w:color="auto" w:frame="1"/>
        </w:rPr>
        <w:t xml:space="preserve">a </w:t>
      </w:r>
      <w:r>
        <w:rPr>
          <w:bdr w:val="none" w:sz="0" w:space="0" w:color="auto" w:frame="1"/>
        </w:rPr>
        <w:t>TDD</w:t>
      </w:r>
      <w:r w:rsidR="00E3621E">
        <w:rPr>
          <w:bdr w:val="none" w:sz="0" w:space="0" w:color="auto" w:frame="1"/>
        </w:rPr>
        <w:t xml:space="preserve"> deployment</w:t>
      </w:r>
      <w:r>
        <w:rPr>
          <w:bdr w:val="none" w:sz="0" w:space="0" w:color="auto" w:frame="1"/>
        </w:rPr>
        <w:t xml:space="preserve">, the link direction </w:t>
      </w:r>
      <w:r w:rsidR="00537F11">
        <w:rPr>
          <w:bdr w:val="none" w:sz="0" w:space="0" w:color="auto" w:frame="1"/>
        </w:rPr>
        <w:t>is the same for all RB</w:t>
      </w:r>
      <w:r w:rsidR="00E3621E">
        <w:rPr>
          <w:bdr w:val="none" w:sz="0" w:space="0" w:color="auto" w:frame="1"/>
        </w:rPr>
        <w:t>s</w:t>
      </w:r>
      <w:r w:rsidR="00537F11">
        <w:rPr>
          <w:bdr w:val="none" w:sz="0" w:space="0" w:color="auto" w:frame="1"/>
        </w:rPr>
        <w:t xml:space="preserve"> of the carrier, </w:t>
      </w:r>
      <w:r w:rsidR="007C144A">
        <w:rPr>
          <w:bdr w:val="none" w:sz="0" w:space="0" w:color="auto" w:frame="1"/>
        </w:rPr>
        <w:t>each symbol falls in one of the categories of ‘D’, ‘U’, static-‘F’, SFI-‘F’ from the point of view of intra-UE collisions</w:t>
      </w:r>
      <w:r w:rsidR="00537F11">
        <w:rPr>
          <w:bdr w:val="none" w:sz="0" w:space="0" w:color="auto" w:frame="1"/>
        </w:rPr>
        <w:t>. Meanwhile, in</w:t>
      </w:r>
      <w:r w:rsidR="00E3621E">
        <w:rPr>
          <w:bdr w:val="none" w:sz="0" w:space="0" w:color="auto" w:frame="1"/>
        </w:rPr>
        <w:t xml:space="preserve"> a SBFD deployment, a resource conflict may arise if (some of) the RBs used by the allocation are not available</w:t>
      </w:r>
      <w:r w:rsidR="00485D49">
        <w:rPr>
          <w:bdr w:val="none" w:sz="0" w:space="0" w:color="auto" w:frame="1"/>
        </w:rPr>
        <w:t xml:space="preserve"> although the UE can transmit or receive</w:t>
      </w:r>
      <w:r w:rsidR="004B1DF7">
        <w:rPr>
          <w:bdr w:val="none" w:sz="0" w:space="0" w:color="auto" w:frame="1"/>
        </w:rPr>
        <w:t xml:space="preserve"> in the same link direction</w:t>
      </w:r>
      <w:r w:rsidR="00E3621E">
        <w:rPr>
          <w:bdr w:val="none" w:sz="0" w:space="0" w:color="auto" w:frame="1"/>
        </w:rPr>
        <w:t>.</w:t>
      </w:r>
      <w:r w:rsidR="001610C5" w:rsidRPr="001610C5">
        <w:t xml:space="preserve"> </w:t>
      </w:r>
      <w:r w:rsidR="00191636">
        <w:rPr>
          <w:bdr w:val="none" w:sz="0" w:space="0" w:color="auto" w:frame="1"/>
        </w:rPr>
        <w:t>W</w:t>
      </w:r>
      <w:r w:rsidR="00191636" w:rsidRPr="00191636">
        <w:rPr>
          <w:bdr w:val="none" w:sz="0" w:space="0" w:color="auto" w:frame="1"/>
        </w:rPr>
        <w:t xml:space="preserve">ith legacy UEs </w:t>
      </w:r>
      <w:r w:rsidR="00191636">
        <w:rPr>
          <w:bdr w:val="none" w:sz="0" w:space="0" w:color="auto" w:frame="1"/>
        </w:rPr>
        <w:t xml:space="preserve">either such </w:t>
      </w:r>
      <w:r w:rsidR="00191636" w:rsidRPr="00191636">
        <w:rPr>
          <w:bdr w:val="none" w:sz="0" w:space="0" w:color="auto" w:frame="1"/>
        </w:rPr>
        <w:t xml:space="preserve">scheduling conflict between UE-dedicated </w:t>
      </w:r>
      <w:r w:rsidR="00191636">
        <w:rPr>
          <w:bdr w:val="none" w:sz="0" w:space="0" w:color="auto" w:frame="1"/>
        </w:rPr>
        <w:t xml:space="preserve">allocation and SBFD is </w:t>
      </w:r>
      <w:r w:rsidR="00BE2036">
        <w:rPr>
          <w:bdr w:val="none" w:sz="0" w:space="0" w:color="auto" w:frame="1"/>
        </w:rPr>
        <w:t>avoided,</w:t>
      </w:r>
      <w:r w:rsidR="00191636">
        <w:rPr>
          <w:bdr w:val="none" w:sz="0" w:space="0" w:color="auto" w:frame="1"/>
        </w:rPr>
        <w:t xml:space="preserve"> or the opposite link direction is configured</w:t>
      </w:r>
      <w:r w:rsidR="00607AC7">
        <w:rPr>
          <w:bdr w:val="none" w:sz="0" w:space="0" w:color="auto" w:frame="1"/>
        </w:rPr>
        <w:t>/signalled</w:t>
      </w:r>
      <w:r w:rsidR="009D255C">
        <w:rPr>
          <w:bdr w:val="none" w:sz="0" w:space="0" w:color="auto" w:frame="1"/>
        </w:rPr>
        <w:t>.</w:t>
      </w:r>
      <w:r w:rsidR="00191636">
        <w:rPr>
          <w:bdr w:val="none" w:sz="0" w:space="0" w:color="auto" w:frame="1"/>
        </w:rPr>
        <w:t xml:space="preserve"> </w:t>
      </w:r>
      <w:r w:rsidR="00607AC7">
        <w:rPr>
          <w:bdr w:val="none" w:sz="0" w:space="0" w:color="auto" w:frame="1"/>
        </w:rPr>
        <w:t>Both can lead to inefficiencies</w:t>
      </w:r>
      <w:r w:rsidR="00191636">
        <w:rPr>
          <w:bdr w:val="none" w:sz="0" w:space="0" w:color="auto" w:frame="1"/>
        </w:rPr>
        <w:t>.</w:t>
      </w:r>
      <w:r w:rsidR="00BE2036">
        <w:rPr>
          <w:bdr w:val="none" w:sz="0" w:space="0" w:color="auto" w:frame="1"/>
        </w:rPr>
        <w:t xml:space="preserve"> Meanwhile, </w:t>
      </w:r>
      <w:r w:rsidR="001610C5" w:rsidRPr="001610C5">
        <w:rPr>
          <w:bdr w:val="none" w:sz="0" w:space="0" w:color="auto" w:frame="1"/>
        </w:rPr>
        <w:t>signalling SBFD partition to enhanced UE’s may help resolving</w:t>
      </w:r>
      <w:r w:rsidR="00BE2036">
        <w:rPr>
          <w:bdr w:val="none" w:sz="0" w:space="0" w:color="auto" w:frame="1"/>
        </w:rPr>
        <w:t xml:space="preserve"> such</w:t>
      </w:r>
      <w:r w:rsidR="001610C5" w:rsidRPr="001610C5">
        <w:rPr>
          <w:bdr w:val="none" w:sz="0" w:space="0" w:color="auto" w:frame="1"/>
        </w:rPr>
        <w:t xml:space="preserve"> intra-UE scheduling collisions</w:t>
      </w:r>
      <w:r w:rsidR="00607AC7">
        <w:rPr>
          <w:bdr w:val="none" w:sz="0" w:space="0" w:color="auto" w:frame="1"/>
        </w:rPr>
        <w:t xml:space="preserve"> </w:t>
      </w:r>
      <w:r w:rsidR="00711316">
        <w:rPr>
          <w:bdr w:val="none" w:sz="0" w:space="0" w:color="auto" w:frame="1"/>
        </w:rPr>
        <w:t>while</w:t>
      </w:r>
      <w:r w:rsidR="00607AC7">
        <w:rPr>
          <w:bdr w:val="none" w:sz="0" w:space="0" w:color="auto" w:frame="1"/>
        </w:rPr>
        <w:t xml:space="preserve"> keeping maximum flexibility of the scheduling</w:t>
      </w:r>
      <w:r w:rsidR="00304581">
        <w:rPr>
          <w:bdr w:val="none" w:sz="0" w:space="0" w:color="auto" w:frame="1"/>
        </w:rPr>
        <w:t>.</w:t>
      </w:r>
    </w:p>
    <w:p w14:paraId="1E473694" w14:textId="10593901" w:rsidR="00462AE6" w:rsidRDefault="0041343E" w:rsidP="00EC4308">
      <w:pPr>
        <w:spacing w:after="120"/>
        <w:jc w:val="both"/>
        <w:rPr>
          <w:bdr w:val="none" w:sz="0" w:space="0" w:color="auto" w:frame="1"/>
        </w:rPr>
      </w:pPr>
      <w:r w:rsidRPr="004275D0">
        <w:rPr>
          <w:color w:val="000000" w:themeColor="text1"/>
          <w:bdr w:val="none" w:sz="0" w:space="0" w:color="auto" w:frame="1"/>
        </w:rPr>
        <w:t>On the other hand,</w:t>
      </w:r>
      <w:r w:rsidR="00F8582E" w:rsidRPr="004275D0">
        <w:rPr>
          <w:color w:val="000000" w:themeColor="text1"/>
          <w:bdr w:val="none" w:sz="0" w:space="0" w:color="auto" w:frame="1"/>
        </w:rPr>
        <w:t xml:space="preserve"> it can also occur that </w:t>
      </w:r>
      <w:r w:rsidR="00874418" w:rsidRPr="004275D0">
        <w:rPr>
          <w:color w:val="000000" w:themeColor="text1"/>
          <w:bdr w:val="none" w:sz="0" w:space="0" w:color="auto" w:frame="1"/>
        </w:rPr>
        <w:t xml:space="preserve">collision </w:t>
      </w:r>
      <w:r w:rsidR="007C144A">
        <w:rPr>
          <w:color w:val="000000" w:themeColor="text1"/>
          <w:bdr w:val="none" w:sz="0" w:space="0" w:color="auto" w:frame="1"/>
        </w:rPr>
        <w:t xml:space="preserve">between </w:t>
      </w:r>
      <w:r w:rsidR="00874418" w:rsidRPr="004275D0">
        <w:rPr>
          <w:color w:val="000000" w:themeColor="text1"/>
          <w:bdr w:val="none" w:sz="0" w:space="0" w:color="auto" w:frame="1"/>
        </w:rPr>
        <w:t>UE-dedicated configured</w:t>
      </w:r>
      <w:r w:rsidR="00F8582E" w:rsidRPr="004275D0">
        <w:rPr>
          <w:color w:val="000000" w:themeColor="text1"/>
          <w:bdr w:val="none" w:sz="0" w:space="0" w:color="auto" w:frame="1"/>
        </w:rPr>
        <w:t xml:space="preserve"> UL </w:t>
      </w:r>
      <w:r w:rsidR="00874418" w:rsidRPr="004275D0">
        <w:rPr>
          <w:color w:val="000000" w:themeColor="text1"/>
          <w:bdr w:val="none" w:sz="0" w:space="0" w:color="auto" w:frame="1"/>
        </w:rPr>
        <w:t>and</w:t>
      </w:r>
      <w:r w:rsidR="00F8582E" w:rsidRPr="004275D0">
        <w:rPr>
          <w:color w:val="000000" w:themeColor="text1"/>
          <w:bdr w:val="none" w:sz="0" w:space="0" w:color="auto" w:frame="1"/>
        </w:rPr>
        <w:t xml:space="preserve"> DL </w:t>
      </w:r>
      <w:r w:rsidR="00874418" w:rsidRPr="004275D0">
        <w:rPr>
          <w:color w:val="000000" w:themeColor="text1"/>
          <w:bdr w:val="none" w:sz="0" w:space="0" w:color="auto" w:frame="1"/>
        </w:rPr>
        <w:t>allocations</w:t>
      </w:r>
      <w:r w:rsidR="007C144A">
        <w:rPr>
          <w:color w:val="000000" w:themeColor="text1"/>
          <w:bdr w:val="none" w:sz="0" w:space="0" w:color="auto" w:frame="1"/>
        </w:rPr>
        <w:t xml:space="preserve"> (including e.g. monitoring of PDCCH in USS)</w:t>
      </w:r>
      <w:r w:rsidR="00874418" w:rsidRPr="004275D0">
        <w:rPr>
          <w:color w:val="000000" w:themeColor="text1"/>
          <w:bdr w:val="none" w:sz="0" w:space="0" w:color="auto" w:frame="1"/>
        </w:rPr>
        <w:t xml:space="preserve"> </w:t>
      </w:r>
      <w:r w:rsidR="00F8582E" w:rsidRPr="004275D0">
        <w:rPr>
          <w:color w:val="000000" w:themeColor="text1"/>
          <w:bdr w:val="none" w:sz="0" w:space="0" w:color="auto" w:frame="1"/>
        </w:rPr>
        <w:t xml:space="preserve">cannot be resolved based on the non-availability of network resources because the SBFD partition allows </w:t>
      </w:r>
      <w:r w:rsidR="00506D8A" w:rsidRPr="004275D0">
        <w:rPr>
          <w:color w:val="000000" w:themeColor="text1"/>
          <w:bdr w:val="none" w:sz="0" w:space="0" w:color="auto" w:frame="1"/>
        </w:rPr>
        <w:t>both</w:t>
      </w:r>
      <w:r w:rsidR="00874418" w:rsidRPr="004275D0">
        <w:rPr>
          <w:color w:val="000000" w:themeColor="text1"/>
          <w:bdr w:val="none" w:sz="0" w:space="0" w:color="auto" w:frame="1"/>
        </w:rPr>
        <w:t xml:space="preserve"> direction</w:t>
      </w:r>
      <w:r w:rsidR="007C144A">
        <w:rPr>
          <w:color w:val="000000" w:themeColor="text1"/>
          <w:bdr w:val="none" w:sz="0" w:space="0" w:color="auto" w:frame="1"/>
        </w:rPr>
        <w:t>s</w:t>
      </w:r>
      <w:r w:rsidR="00874418" w:rsidRPr="004275D0">
        <w:rPr>
          <w:color w:val="000000" w:themeColor="text1"/>
          <w:bdr w:val="none" w:sz="0" w:space="0" w:color="auto" w:frame="1"/>
        </w:rPr>
        <w:t xml:space="preserve"> in the same symbol</w:t>
      </w:r>
      <w:r w:rsidR="00F8582E" w:rsidRPr="004275D0">
        <w:rPr>
          <w:color w:val="000000" w:themeColor="text1"/>
          <w:bdr w:val="none" w:sz="0" w:space="0" w:color="auto" w:frame="1"/>
        </w:rPr>
        <w:t>.</w:t>
      </w:r>
      <w:r w:rsidR="00277814" w:rsidRPr="004275D0">
        <w:rPr>
          <w:color w:val="000000" w:themeColor="text1"/>
          <w:bdr w:val="none" w:sz="0" w:space="0" w:color="auto" w:frame="1"/>
        </w:rPr>
        <w:t xml:space="preserve"> </w:t>
      </w:r>
      <w:r w:rsidR="00874418" w:rsidRPr="004275D0">
        <w:rPr>
          <w:color w:val="000000" w:themeColor="text1"/>
          <w:bdr w:val="none" w:sz="0" w:space="0" w:color="auto" w:frame="1"/>
        </w:rPr>
        <w:t>In this later case t</w:t>
      </w:r>
      <w:r w:rsidR="00462AE6" w:rsidRPr="004275D0">
        <w:rPr>
          <w:color w:val="000000" w:themeColor="text1"/>
          <w:bdr w:val="none" w:sz="0" w:space="0" w:color="auto" w:frame="1"/>
        </w:rPr>
        <w:t>he ambiguity can be removed b</w:t>
      </w:r>
      <w:r w:rsidR="0038060B" w:rsidRPr="004275D0">
        <w:rPr>
          <w:color w:val="000000" w:themeColor="text1"/>
          <w:bdr w:val="none" w:sz="0" w:space="0" w:color="auto" w:frame="1"/>
        </w:rPr>
        <w:t xml:space="preserve">y </w:t>
      </w:r>
      <w:r w:rsidR="00BE2036" w:rsidRPr="004275D0">
        <w:rPr>
          <w:color w:val="000000" w:themeColor="text1"/>
          <w:bdr w:val="none" w:sz="0" w:space="0" w:color="auto" w:frame="1"/>
        </w:rPr>
        <w:t>e.g.</w:t>
      </w:r>
      <w:r w:rsidR="0038060B" w:rsidRPr="004275D0">
        <w:rPr>
          <w:color w:val="000000" w:themeColor="text1"/>
          <w:bdr w:val="none" w:sz="0" w:space="0" w:color="auto" w:frame="1"/>
        </w:rPr>
        <w:t xml:space="preserve"> </w:t>
      </w:r>
      <w:r w:rsidR="00462AE6" w:rsidRPr="004275D0">
        <w:rPr>
          <w:color w:val="000000" w:themeColor="text1"/>
          <w:bdr w:val="none" w:sz="0" w:space="0" w:color="auto" w:frame="1"/>
        </w:rPr>
        <w:t xml:space="preserve">explicitly indicating the prioritized link direction for the UE or </w:t>
      </w:r>
      <w:r w:rsidR="00BE2036" w:rsidRPr="004275D0">
        <w:rPr>
          <w:color w:val="000000" w:themeColor="text1"/>
          <w:bdr w:val="none" w:sz="0" w:space="0" w:color="auto" w:frame="1"/>
        </w:rPr>
        <w:t xml:space="preserve">e.g. </w:t>
      </w:r>
      <w:r w:rsidR="00462AE6" w:rsidRPr="004275D0">
        <w:rPr>
          <w:color w:val="000000" w:themeColor="text1"/>
          <w:bdr w:val="none" w:sz="0" w:space="0" w:color="auto" w:frame="1"/>
        </w:rPr>
        <w:t xml:space="preserve">by </w:t>
      </w:r>
      <w:r w:rsidR="0038060B" w:rsidRPr="004275D0">
        <w:rPr>
          <w:color w:val="000000" w:themeColor="text1"/>
          <w:bdr w:val="none" w:sz="0" w:space="0" w:color="auto" w:frame="1"/>
        </w:rPr>
        <w:t>linking the resources to a</w:t>
      </w:r>
      <w:r w:rsidR="00AC7905" w:rsidRPr="004275D0">
        <w:rPr>
          <w:color w:val="000000" w:themeColor="text1"/>
          <w:bdr w:val="none" w:sz="0" w:space="0" w:color="auto" w:frame="1"/>
        </w:rPr>
        <w:t xml:space="preserve"> subband</w:t>
      </w:r>
      <w:r w:rsidR="00304581">
        <w:rPr>
          <w:color w:val="000000" w:themeColor="text1"/>
          <w:bdr w:val="none" w:sz="0" w:space="0" w:color="auto" w:frame="1"/>
        </w:rPr>
        <w:t>.</w:t>
      </w:r>
      <w:r w:rsidR="00C03E8A">
        <w:rPr>
          <w:color w:val="000000" w:themeColor="text1"/>
          <w:bdr w:val="none" w:sz="0" w:space="0" w:color="auto" w:frame="1"/>
        </w:rPr>
        <w:t xml:space="preserve"> </w:t>
      </w:r>
      <w:r>
        <w:rPr>
          <w:bdr w:val="none" w:sz="0" w:space="0" w:color="auto" w:frame="1"/>
        </w:rPr>
        <w:t>Furthermore</w:t>
      </w:r>
      <w:r w:rsidR="00462AE6">
        <w:rPr>
          <w:bdr w:val="none" w:sz="0" w:space="0" w:color="auto" w:frame="1"/>
        </w:rPr>
        <w:t xml:space="preserve">, </w:t>
      </w:r>
      <w:r w:rsidR="001610C5">
        <w:rPr>
          <w:bdr w:val="none" w:sz="0" w:space="0" w:color="auto" w:frame="1"/>
        </w:rPr>
        <w:t xml:space="preserve">signalling </w:t>
      </w:r>
      <w:r w:rsidR="00462AE6">
        <w:rPr>
          <w:bdr w:val="none" w:sz="0" w:space="0" w:color="auto" w:frame="1"/>
        </w:rPr>
        <w:t xml:space="preserve">the </w:t>
      </w:r>
      <w:r w:rsidR="00506D8A">
        <w:rPr>
          <w:bdr w:val="none" w:sz="0" w:space="0" w:color="auto" w:frame="1"/>
        </w:rPr>
        <w:t>SBFD partition</w:t>
      </w:r>
      <w:r w:rsidR="001610C5">
        <w:rPr>
          <w:bdr w:val="none" w:sz="0" w:space="0" w:color="auto" w:frame="1"/>
        </w:rPr>
        <w:t xml:space="preserve"> to enhanced UE</w:t>
      </w:r>
      <w:r w:rsidR="00506D8A">
        <w:rPr>
          <w:bdr w:val="none" w:sz="0" w:space="0" w:color="auto" w:frame="1"/>
        </w:rPr>
        <w:t xml:space="preserve"> </w:t>
      </w:r>
      <w:r w:rsidR="00462AE6">
        <w:rPr>
          <w:bdr w:val="none" w:sz="0" w:space="0" w:color="auto" w:frame="1"/>
        </w:rPr>
        <w:t xml:space="preserve">can also </w:t>
      </w:r>
      <w:r w:rsidR="00064453">
        <w:rPr>
          <w:bdr w:val="none" w:sz="0" w:space="0" w:color="auto" w:frame="1"/>
        </w:rPr>
        <w:t>help with defining adaptive FDRA behaviour</w:t>
      </w:r>
      <w:r w:rsidR="001610C5">
        <w:rPr>
          <w:bdr w:val="none" w:sz="0" w:space="0" w:color="auto" w:frame="1"/>
        </w:rPr>
        <w:t xml:space="preserve"> for them</w:t>
      </w:r>
      <w:r w:rsidR="00064453">
        <w:rPr>
          <w:bdr w:val="none" w:sz="0" w:space="0" w:color="auto" w:frame="1"/>
        </w:rPr>
        <w:t>, e.g. for avoiding resource fragmentation.</w:t>
      </w:r>
    </w:p>
    <w:p w14:paraId="5C036216" w14:textId="3954D8B8" w:rsidR="0099381C" w:rsidRDefault="00711316" w:rsidP="00EC4308">
      <w:pPr>
        <w:spacing w:after="120"/>
        <w:jc w:val="both"/>
        <w:rPr>
          <w:bdr w:val="none" w:sz="0" w:space="0" w:color="auto" w:frame="1"/>
        </w:rPr>
      </w:pPr>
      <w:r>
        <w:rPr>
          <w:bdr w:val="none" w:sz="0" w:space="0" w:color="auto" w:frame="1"/>
        </w:rPr>
        <w:t xml:space="preserve">Therefore, we propose that </w:t>
      </w:r>
      <w:r w:rsidR="007C144A">
        <w:rPr>
          <w:bdr w:val="none" w:sz="0" w:space="0" w:color="auto" w:frame="1"/>
        </w:rPr>
        <w:t xml:space="preserve">enhanced </w:t>
      </w:r>
      <w:r w:rsidRPr="00711316">
        <w:rPr>
          <w:bdr w:val="none" w:sz="0" w:space="0" w:color="auto" w:frame="1"/>
        </w:rPr>
        <w:t>UE</w:t>
      </w:r>
      <w:r w:rsidR="007C144A">
        <w:rPr>
          <w:bdr w:val="none" w:sz="0" w:space="0" w:color="auto" w:frame="1"/>
        </w:rPr>
        <w:t>s</w:t>
      </w:r>
      <w:r w:rsidRPr="00711316">
        <w:rPr>
          <w:bdr w:val="none" w:sz="0" w:space="0" w:color="auto" w:frame="1"/>
        </w:rPr>
        <w:t xml:space="preserve"> can be configured with periodic SBFD partition pattern through SIB and dedicated RRC signalling</w:t>
      </w:r>
      <w:r>
        <w:rPr>
          <w:bdr w:val="none" w:sz="0" w:space="0" w:color="auto" w:frame="1"/>
        </w:rPr>
        <w:t xml:space="preserve">. </w:t>
      </w:r>
      <w:r w:rsidR="0099381C">
        <w:rPr>
          <w:bdr w:val="none" w:sz="0" w:space="0" w:color="auto" w:frame="1"/>
        </w:rPr>
        <w:t xml:space="preserve">Dynamic indication of periodic SBFD partition pattern by SFI </w:t>
      </w:r>
      <w:r w:rsidR="00B87CC3">
        <w:rPr>
          <w:bdr w:val="none" w:sz="0" w:space="0" w:color="auto" w:frame="1"/>
        </w:rPr>
        <w:t xml:space="preserve">could </w:t>
      </w:r>
      <w:r w:rsidR="007C144A">
        <w:rPr>
          <w:bdr w:val="none" w:sz="0" w:space="0" w:color="auto" w:frame="1"/>
        </w:rPr>
        <w:t xml:space="preserve">also </w:t>
      </w:r>
      <w:r w:rsidR="00B87CC3">
        <w:rPr>
          <w:bdr w:val="none" w:sz="0" w:space="0" w:color="auto" w:frame="1"/>
        </w:rPr>
        <w:t xml:space="preserve">be motivated by </w:t>
      </w:r>
      <w:r w:rsidR="007C144A">
        <w:rPr>
          <w:bdr w:val="none" w:sz="0" w:space="0" w:color="auto" w:frame="1"/>
        </w:rPr>
        <w:t xml:space="preserve">e.g. </w:t>
      </w:r>
      <w:r w:rsidR="00B87CC3">
        <w:rPr>
          <w:bdr w:val="none" w:sz="0" w:space="0" w:color="auto" w:frame="1"/>
        </w:rPr>
        <w:t>varying traffic needs</w:t>
      </w:r>
      <w:r>
        <w:rPr>
          <w:bdr w:val="none" w:sz="0" w:space="0" w:color="auto" w:frame="1"/>
        </w:rPr>
        <w:t>.</w:t>
      </w:r>
      <w:r w:rsidR="0099381C">
        <w:rPr>
          <w:bdr w:val="none" w:sz="0" w:space="0" w:color="auto" w:frame="1"/>
        </w:rPr>
        <w:t xml:space="preserve"> </w:t>
      </w:r>
    </w:p>
    <w:p w14:paraId="07650019" w14:textId="16D7BA06" w:rsidR="00B77611" w:rsidRPr="00EC4308" w:rsidRDefault="00B77611" w:rsidP="003759F1">
      <w:pPr>
        <w:spacing w:after="0"/>
        <w:jc w:val="both"/>
        <w:rPr>
          <w:b/>
          <w:bCs/>
          <w:i/>
          <w:iCs/>
          <w:bdr w:val="none" w:sz="0" w:space="0" w:color="auto" w:frame="1"/>
        </w:rPr>
      </w:pPr>
      <w:bookmarkStart w:id="3" w:name="_Ref111208238"/>
      <w:r w:rsidRPr="00EC4308">
        <w:rPr>
          <w:b/>
          <w:bCs/>
          <w:i/>
          <w:iCs/>
          <w:bdr w:val="none" w:sz="0" w:space="0" w:color="auto" w:frame="1"/>
        </w:rPr>
        <w:t xml:space="preserve">Observation </w:t>
      </w:r>
      <w:bookmarkStart w:id="4" w:name="_Hlk110511518"/>
      <w:r w:rsidR="00CA7488" w:rsidRPr="00EC4308">
        <w:rPr>
          <w:b/>
          <w:bCs/>
          <w:i/>
          <w:iCs/>
        </w:rPr>
        <w:fldChar w:fldCharType="begin"/>
      </w:r>
      <w:r w:rsidR="00CA7488" w:rsidRPr="00EC4308">
        <w:rPr>
          <w:b/>
          <w:bCs/>
          <w:i/>
          <w:iCs/>
        </w:rPr>
        <w:instrText xml:space="preserve"> SEQ Observation \* ARABIC </w:instrText>
      </w:r>
      <w:r w:rsidR="00CA7488" w:rsidRPr="00EC4308">
        <w:rPr>
          <w:b/>
          <w:bCs/>
          <w:i/>
          <w:iCs/>
        </w:rPr>
        <w:fldChar w:fldCharType="separate"/>
      </w:r>
      <w:r w:rsidR="00D17601">
        <w:rPr>
          <w:b/>
          <w:bCs/>
          <w:i/>
          <w:iCs/>
          <w:noProof/>
        </w:rPr>
        <w:t>1</w:t>
      </w:r>
      <w:r w:rsidR="00CA7488" w:rsidRPr="00EC4308">
        <w:rPr>
          <w:b/>
          <w:bCs/>
          <w:i/>
          <w:iCs/>
        </w:rPr>
        <w:fldChar w:fldCharType="end"/>
      </w:r>
      <w:bookmarkEnd w:id="4"/>
      <w:r w:rsidRPr="00EC4308">
        <w:rPr>
          <w:b/>
          <w:bCs/>
          <w:i/>
          <w:iCs/>
          <w:bdr w:val="none" w:sz="0" w:space="0" w:color="auto" w:frame="1"/>
        </w:rPr>
        <w:t xml:space="preserve">: </w:t>
      </w:r>
      <w:bookmarkStart w:id="5" w:name="_Hlk110336175"/>
      <w:r w:rsidRPr="00EC4308">
        <w:rPr>
          <w:b/>
          <w:bCs/>
          <w:i/>
          <w:iCs/>
          <w:bdr w:val="none" w:sz="0" w:space="0" w:color="auto" w:frame="1"/>
        </w:rPr>
        <w:t>By use of SBFD partition information UE behaviour can be enhanced in:</w:t>
      </w:r>
      <w:bookmarkEnd w:id="3"/>
    </w:p>
    <w:p w14:paraId="74166243" w14:textId="5DFA7537" w:rsidR="00CE3A59" w:rsidRPr="00CE3A59" w:rsidRDefault="00CA4D5D" w:rsidP="00CE3A59">
      <w:pPr>
        <w:pStyle w:val="ListParagraph"/>
        <w:numPr>
          <w:ilvl w:val="0"/>
          <w:numId w:val="23"/>
        </w:numPr>
        <w:tabs>
          <w:tab w:val="num" w:pos="360"/>
        </w:tabs>
        <w:spacing w:after="120"/>
        <w:jc w:val="both"/>
        <w:rPr>
          <w:b/>
          <w:bCs/>
          <w:i/>
          <w:iCs/>
          <w:sz w:val="20"/>
          <w:szCs w:val="20"/>
          <w:bdr w:val="none" w:sz="0" w:space="0" w:color="auto" w:frame="1"/>
          <w:lang w:val="en-GB"/>
        </w:rPr>
      </w:pPr>
      <w:r w:rsidRPr="00EC4308">
        <w:rPr>
          <w:b/>
          <w:bCs/>
          <w:i/>
          <w:iCs/>
          <w:sz w:val="20"/>
          <w:szCs w:val="20"/>
          <w:bdr w:val="none" w:sz="0" w:space="0" w:color="auto" w:frame="1"/>
          <w:lang w:val="en-GB"/>
        </w:rPr>
        <w:t>e.g.,</w:t>
      </w:r>
      <w:r w:rsidR="00CE3A59" w:rsidRPr="00EC4308">
        <w:rPr>
          <w:b/>
          <w:bCs/>
          <w:i/>
          <w:iCs/>
          <w:sz w:val="20"/>
          <w:szCs w:val="20"/>
          <w:bdr w:val="none" w:sz="0" w:space="0" w:color="auto" w:frame="1"/>
          <w:lang w:val="en-GB"/>
        </w:rPr>
        <w:t xml:space="preserve"> </w:t>
      </w:r>
      <w:r w:rsidR="009D45BD" w:rsidRPr="00EC4308">
        <w:rPr>
          <w:b/>
          <w:bCs/>
          <w:i/>
          <w:iCs/>
          <w:sz w:val="20"/>
          <w:szCs w:val="20"/>
          <w:bdr w:val="none" w:sz="0" w:space="0" w:color="auto" w:frame="1"/>
          <w:lang w:val="en-GB"/>
        </w:rPr>
        <w:t xml:space="preserve">decoding </w:t>
      </w:r>
      <w:r w:rsidR="009D45BD">
        <w:rPr>
          <w:b/>
          <w:bCs/>
          <w:i/>
          <w:iCs/>
          <w:sz w:val="20"/>
          <w:szCs w:val="20"/>
          <w:bdr w:val="none" w:sz="0" w:space="0" w:color="auto" w:frame="1"/>
          <w:lang w:val="en-GB"/>
        </w:rPr>
        <w:t>adaptive</w:t>
      </w:r>
      <w:r w:rsidR="00CE3A59" w:rsidRPr="00CE3A59">
        <w:rPr>
          <w:b/>
          <w:bCs/>
          <w:i/>
          <w:iCs/>
          <w:sz w:val="20"/>
          <w:szCs w:val="20"/>
          <w:bdr w:val="none" w:sz="0" w:space="0" w:color="auto" w:frame="1"/>
          <w:lang w:val="en-GB"/>
        </w:rPr>
        <w:t xml:space="preserve"> FDRA allocations</w:t>
      </w:r>
      <w:r w:rsidR="00C03E8A">
        <w:rPr>
          <w:b/>
          <w:bCs/>
          <w:i/>
          <w:iCs/>
          <w:sz w:val="20"/>
          <w:szCs w:val="20"/>
          <w:bdr w:val="none" w:sz="0" w:space="0" w:color="auto" w:frame="1"/>
          <w:lang w:val="en-GB"/>
        </w:rPr>
        <w:t>.</w:t>
      </w:r>
    </w:p>
    <w:p w14:paraId="4CB40B38" w14:textId="466A7A1C" w:rsidR="00297284" w:rsidRPr="00297284" w:rsidRDefault="00CA4D5D" w:rsidP="003759F1">
      <w:pPr>
        <w:pStyle w:val="ListParagraph"/>
        <w:numPr>
          <w:ilvl w:val="0"/>
          <w:numId w:val="23"/>
        </w:numPr>
        <w:tabs>
          <w:tab w:val="num" w:pos="360"/>
        </w:tabs>
        <w:spacing w:after="180"/>
        <w:ind w:left="714" w:hanging="357"/>
        <w:jc w:val="both"/>
        <w:rPr>
          <w:b/>
          <w:bCs/>
          <w:i/>
          <w:iCs/>
          <w:sz w:val="20"/>
          <w:szCs w:val="20"/>
          <w:lang w:val="en-GB"/>
        </w:rPr>
      </w:pPr>
      <w:r w:rsidRPr="00297284">
        <w:rPr>
          <w:b/>
          <w:bCs/>
          <w:i/>
          <w:iCs/>
          <w:sz w:val="20"/>
          <w:szCs w:val="20"/>
          <w:bdr w:val="none" w:sz="0" w:space="0" w:color="auto" w:frame="1"/>
          <w:lang w:val="en-GB"/>
        </w:rPr>
        <w:t>e.g.,</w:t>
      </w:r>
      <w:r w:rsidR="00297284" w:rsidRPr="00297284">
        <w:rPr>
          <w:b/>
          <w:bCs/>
          <w:i/>
          <w:iCs/>
          <w:sz w:val="20"/>
          <w:szCs w:val="20"/>
          <w:bdr w:val="none" w:sz="0" w:space="0" w:color="auto" w:frame="1"/>
          <w:lang w:val="en-GB"/>
        </w:rPr>
        <w:t xml:space="preserve"> resolving intra-UE </w:t>
      </w:r>
      <w:r w:rsidR="00D90D60">
        <w:rPr>
          <w:b/>
          <w:bCs/>
          <w:i/>
          <w:iCs/>
          <w:sz w:val="20"/>
          <w:szCs w:val="20"/>
          <w:bdr w:val="none" w:sz="0" w:space="0" w:color="auto" w:frame="1"/>
          <w:lang w:val="en-GB"/>
        </w:rPr>
        <w:t>scheduling</w:t>
      </w:r>
      <w:r w:rsidR="00297284" w:rsidRPr="00297284">
        <w:rPr>
          <w:b/>
          <w:bCs/>
          <w:i/>
          <w:iCs/>
          <w:sz w:val="20"/>
          <w:szCs w:val="20"/>
          <w:bdr w:val="none" w:sz="0" w:space="0" w:color="auto" w:frame="1"/>
          <w:lang w:val="en-GB"/>
        </w:rPr>
        <w:t xml:space="preserve"> collisions</w:t>
      </w:r>
      <w:r w:rsidR="00C03E8A">
        <w:rPr>
          <w:b/>
          <w:bCs/>
          <w:i/>
          <w:iCs/>
          <w:sz w:val="20"/>
          <w:szCs w:val="20"/>
          <w:bdr w:val="none" w:sz="0" w:space="0" w:color="auto" w:frame="1"/>
          <w:lang w:val="en-GB"/>
        </w:rPr>
        <w:t>.</w:t>
      </w:r>
    </w:p>
    <w:p w14:paraId="0513A726" w14:textId="4B9C6F21" w:rsidR="001E3CE8" w:rsidRPr="001E3CE8" w:rsidRDefault="00B77611" w:rsidP="00CD3598">
      <w:pPr>
        <w:spacing w:after="0"/>
        <w:jc w:val="both"/>
        <w:rPr>
          <w:b/>
          <w:bCs/>
          <w:i/>
          <w:iCs/>
          <w:bdr w:val="none" w:sz="0" w:space="0" w:color="auto" w:frame="1"/>
        </w:rPr>
      </w:pPr>
      <w:bookmarkStart w:id="6" w:name="_Ref111210875"/>
      <w:bookmarkStart w:id="7" w:name="_Ref111211276"/>
      <w:bookmarkStart w:id="8" w:name="_Hlk110339906"/>
      <w:bookmarkEnd w:id="5"/>
      <w:r w:rsidRPr="00EC4308">
        <w:rPr>
          <w:b/>
          <w:bCs/>
          <w:i/>
          <w:iCs/>
          <w:bdr w:val="none" w:sz="0" w:space="0" w:color="auto" w:frame="1"/>
        </w:rPr>
        <w:t>Proposal</w:t>
      </w:r>
      <w:r w:rsidR="00CA7488" w:rsidRPr="00EC4308">
        <w:rPr>
          <w:b/>
          <w:bCs/>
          <w:i/>
          <w:iCs/>
          <w:bdr w:val="none" w:sz="0" w:space="0" w:color="auto" w:frame="1"/>
        </w:rPr>
        <w:t xml:space="preserve"> </w:t>
      </w:r>
      <w:r w:rsidR="00CA7488" w:rsidRPr="00EC4308">
        <w:rPr>
          <w:b/>
          <w:bCs/>
          <w:i/>
          <w:iCs/>
        </w:rPr>
        <w:fldChar w:fldCharType="begin"/>
      </w:r>
      <w:r w:rsidR="00CA7488" w:rsidRPr="00EC4308">
        <w:rPr>
          <w:b/>
          <w:bCs/>
          <w:i/>
          <w:iCs/>
        </w:rPr>
        <w:instrText xml:space="preserve"> SEQ Proposal \* ARABIC </w:instrText>
      </w:r>
      <w:r w:rsidR="00CA7488" w:rsidRPr="00EC4308">
        <w:rPr>
          <w:b/>
          <w:bCs/>
          <w:i/>
          <w:iCs/>
        </w:rPr>
        <w:fldChar w:fldCharType="separate"/>
      </w:r>
      <w:r w:rsidR="00D17601">
        <w:rPr>
          <w:b/>
          <w:bCs/>
          <w:i/>
          <w:iCs/>
          <w:noProof/>
        </w:rPr>
        <w:t>1</w:t>
      </w:r>
      <w:r w:rsidR="00CA7488" w:rsidRPr="00EC4308">
        <w:rPr>
          <w:b/>
          <w:bCs/>
          <w:i/>
          <w:iCs/>
        </w:rPr>
        <w:fldChar w:fldCharType="end"/>
      </w:r>
      <w:r w:rsidRPr="00EC4308">
        <w:rPr>
          <w:b/>
          <w:bCs/>
          <w:i/>
          <w:iCs/>
          <w:bdr w:val="none" w:sz="0" w:space="0" w:color="auto" w:frame="1"/>
        </w:rPr>
        <w:t xml:space="preserve">: </w:t>
      </w:r>
      <w:r w:rsidR="007E3833" w:rsidRPr="00EC4308">
        <w:rPr>
          <w:b/>
          <w:bCs/>
          <w:i/>
          <w:iCs/>
          <w:bdr w:val="none" w:sz="0" w:space="0" w:color="auto" w:frame="1"/>
        </w:rPr>
        <w:t xml:space="preserve">UE can be configured with </w:t>
      </w:r>
      <w:r w:rsidR="0099381C" w:rsidRPr="00EC4308">
        <w:rPr>
          <w:b/>
          <w:bCs/>
          <w:i/>
          <w:iCs/>
          <w:bdr w:val="none" w:sz="0" w:space="0" w:color="auto" w:frame="1"/>
        </w:rPr>
        <w:t xml:space="preserve">periodic </w:t>
      </w:r>
      <w:r w:rsidR="007E3833" w:rsidRPr="00EC4308">
        <w:rPr>
          <w:b/>
          <w:bCs/>
          <w:i/>
          <w:iCs/>
          <w:bdr w:val="none" w:sz="0" w:space="0" w:color="auto" w:frame="1"/>
        </w:rPr>
        <w:t>SBFD partition pattern through SIB and dedicated RRC signalling</w:t>
      </w:r>
      <w:bookmarkEnd w:id="6"/>
      <w:r w:rsidR="00CD3598">
        <w:rPr>
          <w:b/>
          <w:bCs/>
          <w:i/>
          <w:iCs/>
          <w:bdr w:val="none" w:sz="0" w:space="0" w:color="auto" w:frame="1"/>
        </w:rPr>
        <w:t xml:space="preserve">. </w:t>
      </w:r>
      <w:r w:rsidR="007E3833" w:rsidRPr="00EC4308">
        <w:rPr>
          <w:b/>
          <w:bCs/>
          <w:i/>
          <w:iCs/>
          <w:bdr w:val="none" w:sz="0" w:space="0" w:color="auto" w:frame="1"/>
        </w:rPr>
        <w:t>FFS: SFI dynamic indication</w:t>
      </w:r>
      <w:r w:rsidR="0099381C" w:rsidRPr="00EC4308">
        <w:rPr>
          <w:b/>
          <w:bCs/>
          <w:i/>
          <w:iCs/>
          <w:bdr w:val="none" w:sz="0" w:space="0" w:color="auto" w:frame="1"/>
        </w:rPr>
        <w:t xml:space="preserve"> of periodic SBFD partition pattern</w:t>
      </w:r>
      <w:r w:rsidR="00C03E8A" w:rsidRPr="00EC4308">
        <w:rPr>
          <w:b/>
          <w:bCs/>
          <w:i/>
          <w:iCs/>
          <w:bdr w:val="none" w:sz="0" w:space="0" w:color="auto" w:frame="1"/>
        </w:rPr>
        <w:t>.</w:t>
      </w:r>
      <w:bookmarkEnd w:id="7"/>
    </w:p>
    <w:p w14:paraId="0FD86DB6" w14:textId="0A097655" w:rsidR="00B91AEF" w:rsidRDefault="00B77611" w:rsidP="005A4910">
      <w:pPr>
        <w:pStyle w:val="Heading2"/>
        <w:ind w:left="578" w:hanging="578"/>
      </w:pPr>
      <w:r w:rsidRPr="00297284">
        <w:t>Resource allocation for SBFD-aware UEs</w:t>
      </w:r>
    </w:p>
    <w:p w14:paraId="280D3EFF" w14:textId="5D4A12D1" w:rsidR="00C03E8A" w:rsidRPr="00C03E8A" w:rsidRDefault="00C03E8A" w:rsidP="003C6EA0">
      <w:pPr>
        <w:spacing w:after="120"/>
        <w:jc w:val="both"/>
      </w:pPr>
      <w:r>
        <w:rPr>
          <w:lang w:val="en-US" w:eastAsia="zh-CN"/>
        </w:rPr>
        <w:t xml:space="preserve">In RAN1#109-e meeting, RAN1 reached the following agreements to study </w:t>
      </w:r>
      <w:r w:rsidRPr="00C03E8A">
        <w:rPr>
          <w:lang w:val="en-US" w:eastAsia="zh-CN"/>
        </w:rPr>
        <w:t>potential enhancements of resource allocation</w:t>
      </w:r>
      <w:r>
        <w:rPr>
          <w:lang w:val="en-US" w:eastAsia="zh-CN"/>
        </w:rPr>
        <w:t xml:space="preserve"> in SBFD scheme. </w:t>
      </w:r>
      <w:r w:rsidRPr="00EC4308">
        <w:rPr>
          <w:lang w:val="en-US" w:eastAsia="zh-CN"/>
        </w:rPr>
        <w:t>In this section, we provide views on the</w:t>
      </w:r>
      <w:r w:rsidR="00EC4308" w:rsidRPr="00EC4308">
        <w:rPr>
          <w:lang w:val="en-US" w:eastAsia="zh-CN"/>
        </w:rPr>
        <w:t xml:space="preserve"> possible issue and the corresponding enhancements for resource allocation in SBFD scheme.</w:t>
      </w:r>
    </w:p>
    <w:tbl>
      <w:tblPr>
        <w:tblStyle w:val="TableGrid"/>
        <w:tblW w:w="0" w:type="auto"/>
        <w:tblLook w:val="04A0" w:firstRow="1" w:lastRow="0" w:firstColumn="1" w:lastColumn="0" w:noHBand="0" w:noVBand="1"/>
      </w:tblPr>
      <w:tblGrid>
        <w:gridCol w:w="9629"/>
      </w:tblGrid>
      <w:tr w:rsidR="00C56C73" w:rsidRPr="00297284" w14:paraId="61B898DE" w14:textId="77777777" w:rsidTr="00C56C73">
        <w:tc>
          <w:tcPr>
            <w:tcW w:w="9629" w:type="dxa"/>
          </w:tcPr>
          <w:tbl>
            <w:tblPr>
              <w:tblW w:w="0" w:type="auto"/>
              <w:tblLook w:val="04A0" w:firstRow="1" w:lastRow="0" w:firstColumn="1" w:lastColumn="0" w:noHBand="0" w:noVBand="1"/>
            </w:tblPr>
            <w:tblGrid>
              <w:gridCol w:w="9413"/>
            </w:tblGrid>
            <w:tr w:rsidR="00C56C73" w:rsidRPr="00297284" w14:paraId="3913D98D" w14:textId="77777777" w:rsidTr="001B74AE">
              <w:tc>
                <w:tcPr>
                  <w:tcW w:w="9629" w:type="dxa"/>
                  <w:hideMark/>
                </w:tcPr>
                <w:tbl>
                  <w:tblPr>
                    <w:tblW w:w="0" w:type="auto"/>
                    <w:tblLook w:val="04A0" w:firstRow="1" w:lastRow="0" w:firstColumn="1" w:lastColumn="0" w:noHBand="0" w:noVBand="1"/>
                  </w:tblPr>
                  <w:tblGrid>
                    <w:gridCol w:w="9197"/>
                  </w:tblGrid>
                  <w:tr w:rsidR="00C56C73" w:rsidRPr="00297284" w14:paraId="1064D18D" w14:textId="77777777">
                    <w:tc>
                      <w:tcPr>
                        <w:tcW w:w="9629" w:type="dxa"/>
                        <w:hideMark/>
                      </w:tcPr>
                      <w:bookmarkEnd w:id="8"/>
                      <w:p w14:paraId="7C938B0B" w14:textId="061344EA" w:rsidR="00C56C73" w:rsidRPr="00297284" w:rsidRDefault="00C56C73" w:rsidP="00C03E8A">
                        <w:pPr>
                          <w:spacing w:after="0"/>
                          <w:rPr>
                            <w:highlight w:val="green"/>
                            <w:lang w:eastAsia="ko-KR"/>
                          </w:rPr>
                        </w:pPr>
                        <w:r w:rsidRPr="00297284">
                          <w:rPr>
                            <w:highlight w:val="green"/>
                            <w:lang w:eastAsia="ko-KR"/>
                          </w:rPr>
                          <w:t>Agreement</w:t>
                        </w:r>
                      </w:p>
                      <w:p w14:paraId="434A31C9" w14:textId="77777777" w:rsidR="00C56C73" w:rsidRPr="00297284" w:rsidRDefault="00C56C73" w:rsidP="003C6EA0">
                        <w:pPr>
                          <w:spacing w:after="0"/>
                          <w:rPr>
                            <w:lang w:eastAsia="ko-KR"/>
                          </w:rPr>
                        </w:pPr>
                        <w:r w:rsidRPr="00297284">
                          <w:rPr>
                            <w:lang w:eastAsia="ko-KR"/>
                          </w:rPr>
                          <w:t xml:space="preserve">Study the </w:t>
                        </w:r>
                        <w:r w:rsidRPr="00297284">
                          <w:rPr>
                            <w:highlight w:val="yellow"/>
                            <w:lang w:eastAsia="ko-KR"/>
                          </w:rPr>
                          <w:t>impact/potential enhancements of resource allocation</w:t>
                        </w:r>
                        <w:r w:rsidRPr="00297284">
                          <w:rPr>
                            <w:lang w:eastAsia="ko-KR"/>
                          </w:rPr>
                          <w:t xml:space="preserve"> in symbols with subbands that gNB would use for SBFD operation.</w:t>
                        </w:r>
                      </w:p>
                    </w:tc>
                  </w:tr>
                </w:tbl>
                <w:p w14:paraId="06C7C66C" w14:textId="77777777" w:rsidR="00C56C73" w:rsidRPr="00297284" w:rsidRDefault="00C56C73" w:rsidP="001B74AE"/>
              </w:tc>
            </w:tr>
          </w:tbl>
          <w:p w14:paraId="498DD887" w14:textId="77777777" w:rsidR="00C56C73" w:rsidRPr="00297284" w:rsidRDefault="00C56C73"/>
        </w:tc>
      </w:tr>
    </w:tbl>
    <w:p w14:paraId="68F1D623" w14:textId="741A430A" w:rsidR="00B26D0A" w:rsidRPr="00297284" w:rsidRDefault="009C64FC" w:rsidP="00B26D0A">
      <w:pPr>
        <w:pStyle w:val="Heading3"/>
      </w:pPr>
      <w:r>
        <w:t xml:space="preserve">PDCCH monitoring </w:t>
      </w:r>
      <w:r w:rsidR="00BE50AE">
        <w:t>in</w:t>
      </w:r>
      <w:r>
        <w:t xml:space="preserve"> SBFD</w:t>
      </w:r>
      <w:r w:rsidR="00BE50AE">
        <w:t xml:space="preserve"> symbols</w:t>
      </w:r>
    </w:p>
    <w:p w14:paraId="7736384B" w14:textId="073533CF" w:rsidR="00014D24" w:rsidRPr="00014D24" w:rsidRDefault="00014D24" w:rsidP="003C6EA0">
      <w:pPr>
        <w:spacing w:after="120"/>
        <w:contextualSpacing/>
        <w:jc w:val="both"/>
        <w:textAlignment w:val="baseline"/>
      </w:pPr>
      <w:r>
        <w:t>The c</w:t>
      </w:r>
      <w:r w:rsidRPr="00014D24">
        <w:t>urrent specifications provide flexible solutions for CORESET resource allocation and PDCCH monitoring</w:t>
      </w:r>
      <w:r w:rsidR="00BD5200">
        <w:t>, which would suit SBFD partitioned symbols as well</w:t>
      </w:r>
      <w:r w:rsidR="00D30E03">
        <w:t xml:space="preserve"> in many aspects</w:t>
      </w:r>
      <w:r w:rsidRPr="00014D24">
        <w:t>:</w:t>
      </w:r>
    </w:p>
    <w:p w14:paraId="761A96F2" w14:textId="0787C247" w:rsidR="00014D24" w:rsidRPr="00014D24" w:rsidRDefault="00014D24" w:rsidP="003C6EA0">
      <w:pPr>
        <w:pStyle w:val="ListParagraph"/>
        <w:numPr>
          <w:ilvl w:val="0"/>
          <w:numId w:val="30"/>
        </w:numPr>
        <w:spacing w:after="120"/>
        <w:jc w:val="both"/>
        <w:textAlignment w:val="baseline"/>
        <w:rPr>
          <w:sz w:val="20"/>
          <w:szCs w:val="20"/>
        </w:rPr>
      </w:pPr>
      <w:r w:rsidRPr="00014D24">
        <w:rPr>
          <w:sz w:val="20"/>
          <w:szCs w:val="20"/>
        </w:rPr>
        <w:t>CORESET FDRA</w:t>
      </w:r>
      <w:r w:rsidR="00FA724F">
        <w:rPr>
          <w:sz w:val="20"/>
          <w:szCs w:val="20"/>
        </w:rPr>
        <w:t xml:space="preserve"> is</w:t>
      </w:r>
      <w:r w:rsidRPr="00014D24">
        <w:rPr>
          <w:sz w:val="20"/>
          <w:szCs w:val="20"/>
        </w:rPr>
        <w:t xml:space="preserve"> based on</w:t>
      </w:r>
      <w:r w:rsidR="00FA724F">
        <w:rPr>
          <w:sz w:val="20"/>
          <w:szCs w:val="20"/>
        </w:rPr>
        <w:t xml:space="preserve"> on a bitmap of RB groups consisting of</w:t>
      </w:r>
      <w:r w:rsidRPr="00014D24">
        <w:rPr>
          <w:sz w:val="20"/>
          <w:szCs w:val="20"/>
        </w:rPr>
        <w:t xml:space="preserve"> 6</w:t>
      </w:r>
      <w:r w:rsidR="00FA724F">
        <w:rPr>
          <w:sz w:val="20"/>
          <w:szCs w:val="20"/>
        </w:rPr>
        <w:t xml:space="preserve"> </w:t>
      </w:r>
      <w:r w:rsidRPr="00014D24">
        <w:rPr>
          <w:sz w:val="20"/>
          <w:szCs w:val="20"/>
        </w:rPr>
        <w:t>RB</w:t>
      </w:r>
      <w:r w:rsidR="00FA724F">
        <w:rPr>
          <w:sz w:val="20"/>
          <w:szCs w:val="20"/>
        </w:rPr>
        <w:t>s each, thereby readily allowing for non-contiguous resource allocatios. The</w:t>
      </w:r>
      <w:r w:rsidRPr="00014D24">
        <w:rPr>
          <w:sz w:val="20"/>
          <w:szCs w:val="20"/>
        </w:rPr>
        <w:t xml:space="preserve"> grid start</w:t>
      </w:r>
      <w:r w:rsidR="00FA724F">
        <w:rPr>
          <w:sz w:val="20"/>
          <w:szCs w:val="20"/>
        </w:rPr>
        <w:t>s</w:t>
      </w:r>
      <w:r w:rsidRPr="00014D24">
        <w:rPr>
          <w:sz w:val="20"/>
          <w:szCs w:val="20"/>
        </w:rPr>
        <w:t xml:space="preserve"> from C</w:t>
      </w:r>
      <w:r w:rsidR="00FA724F">
        <w:rPr>
          <w:sz w:val="20"/>
          <w:szCs w:val="20"/>
        </w:rPr>
        <w:t xml:space="preserve">ommon </w:t>
      </w:r>
      <w:r w:rsidRPr="00014D24">
        <w:rPr>
          <w:sz w:val="20"/>
          <w:szCs w:val="20"/>
        </w:rPr>
        <w:t>RB</w:t>
      </w:r>
      <w:r w:rsidR="00FA724F">
        <w:rPr>
          <w:sz w:val="20"/>
          <w:szCs w:val="20"/>
        </w:rPr>
        <w:t>#</w:t>
      </w:r>
      <w:r w:rsidRPr="00014D24">
        <w:rPr>
          <w:sz w:val="20"/>
          <w:szCs w:val="20"/>
        </w:rPr>
        <w:t>0</w:t>
      </w:r>
      <w:r w:rsidR="00FA724F">
        <w:rPr>
          <w:sz w:val="20"/>
          <w:szCs w:val="20"/>
        </w:rPr>
        <w:t>.</w:t>
      </w:r>
      <w:r w:rsidR="006A5D15">
        <w:rPr>
          <w:sz w:val="20"/>
          <w:szCs w:val="20"/>
        </w:rPr>
        <w:t xml:space="preserve"> Aggregations</w:t>
      </w:r>
      <w:r w:rsidR="00A66F00">
        <w:rPr>
          <w:sz w:val="20"/>
          <w:szCs w:val="20"/>
        </w:rPr>
        <w:t xml:space="preserve"> </w:t>
      </w:r>
      <w:r w:rsidR="006A5D15">
        <w:rPr>
          <w:sz w:val="20"/>
          <w:szCs w:val="20"/>
        </w:rPr>
        <w:t>can spread over distant CCEs.</w:t>
      </w:r>
    </w:p>
    <w:p w14:paraId="751DABEF" w14:textId="535C4E16" w:rsidR="00014D24" w:rsidRPr="00014D24" w:rsidRDefault="00BD5200" w:rsidP="003C6EA0">
      <w:pPr>
        <w:pStyle w:val="ListParagraph"/>
        <w:numPr>
          <w:ilvl w:val="0"/>
          <w:numId w:val="30"/>
        </w:numPr>
        <w:spacing w:after="120"/>
        <w:jc w:val="both"/>
        <w:textAlignment w:val="baseline"/>
        <w:rPr>
          <w:sz w:val="20"/>
          <w:szCs w:val="20"/>
        </w:rPr>
      </w:pPr>
      <w:r>
        <w:rPr>
          <w:sz w:val="20"/>
          <w:szCs w:val="20"/>
        </w:rPr>
        <w:t>Up to</w:t>
      </w:r>
      <w:r w:rsidR="00014D24" w:rsidRPr="00014D24">
        <w:rPr>
          <w:sz w:val="20"/>
          <w:szCs w:val="20"/>
        </w:rPr>
        <w:t xml:space="preserve"> 3 CORESETs </w:t>
      </w:r>
      <w:r>
        <w:rPr>
          <w:sz w:val="20"/>
          <w:szCs w:val="20"/>
        </w:rPr>
        <w:t xml:space="preserve">can be </w:t>
      </w:r>
      <w:r w:rsidR="00014D24" w:rsidRPr="00014D24">
        <w:rPr>
          <w:sz w:val="20"/>
          <w:szCs w:val="20"/>
        </w:rPr>
        <w:t xml:space="preserve">configured </w:t>
      </w:r>
      <w:r w:rsidR="002928E4">
        <w:rPr>
          <w:sz w:val="20"/>
          <w:szCs w:val="20"/>
        </w:rPr>
        <w:t>and be</w:t>
      </w:r>
      <w:r w:rsidR="002928E4" w:rsidRPr="002928E4">
        <w:rPr>
          <w:sz w:val="20"/>
          <w:szCs w:val="20"/>
        </w:rPr>
        <w:t xml:space="preserve"> monitored</w:t>
      </w:r>
      <w:r w:rsidR="002928E4">
        <w:rPr>
          <w:sz w:val="20"/>
          <w:szCs w:val="20"/>
        </w:rPr>
        <w:t xml:space="preserve"> per BWP.</w:t>
      </w:r>
      <w:r w:rsidR="002928E4" w:rsidRPr="002928E4">
        <w:rPr>
          <w:sz w:val="20"/>
          <w:szCs w:val="20"/>
        </w:rPr>
        <w:t xml:space="preserve"> </w:t>
      </w:r>
      <w:r w:rsidR="00C27B98">
        <w:rPr>
          <w:sz w:val="20"/>
          <w:szCs w:val="20"/>
        </w:rPr>
        <w:t xml:space="preserve">This allows e.g. configuring different CORESETs for SBFD and non-SBFD slots/symbols and using them </w:t>
      </w:r>
      <w:r w:rsidR="00D30E03">
        <w:rPr>
          <w:sz w:val="20"/>
          <w:szCs w:val="20"/>
        </w:rPr>
        <w:t>with</w:t>
      </w:r>
      <w:r w:rsidR="00C27B98">
        <w:rPr>
          <w:sz w:val="20"/>
          <w:szCs w:val="20"/>
        </w:rPr>
        <w:t xml:space="preserve"> different search spaces. </w:t>
      </w:r>
      <w:r w:rsidR="00014D24" w:rsidRPr="00014D24">
        <w:rPr>
          <w:sz w:val="20"/>
          <w:szCs w:val="20"/>
        </w:rPr>
        <w:t xml:space="preserve"> </w:t>
      </w:r>
    </w:p>
    <w:p w14:paraId="21139010" w14:textId="53C38CFE" w:rsidR="00014D24" w:rsidRPr="008F03A0" w:rsidRDefault="00BB153F" w:rsidP="003C6EA0">
      <w:pPr>
        <w:pStyle w:val="ListParagraph"/>
        <w:numPr>
          <w:ilvl w:val="0"/>
          <w:numId w:val="30"/>
        </w:numPr>
        <w:spacing w:after="120"/>
        <w:jc w:val="both"/>
        <w:textAlignment w:val="baseline"/>
        <w:rPr>
          <w:sz w:val="20"/>
          <w:szCs w:val="20"/>
        </w:rPr>
      </w:pPr>
      <w:r w:rsidRPr="002928E4">
        <w:rPr>
          <w:sz w:val="20"/>
          <w:szCs w:val="20"/>
        </w:rPr>
        <w:lastRenderedPageBreak/>
        <w:t>The t</w:t>
      </w:r>
      <w:r w:rsidR="00014D24" w:rsidRPr="002928E4">
        <w:rPr>
          <w:sz w:val="20"/>
          <w:szCs w:val="20"/>
        </w:rPr>
        <w:t>ime pattern</w:t>
      </w:r>
      <w:r w:rsidRPr="002928E4">
        <w:rPr>
          <w:sz w:val="20"/>
          <w:szCs w:val="20"/>
        </w:rPr>
        <w:t xml:space="preserve"> of PDCCH monitoring is</w:t>
      </w:r>
      <w:r w:rsidR="00014D24" w:rsidRPr="002928E4">
        <w:rPr>
          <w:sz w:val="20"/>
          <w:szCs w:val="20"/>
        </w:rPr>
        <w:t xml:space="preserve"> defined by </w:t>
      </w:r>
      <w:r w:rsidRPr="002928E4">
        <w:rPr>
          <w:sz w:val="20"/>
          <w:szCs w:val="20"/>
        </w:rPr>
        <w:t>s</w:t>
      </w:r>
      <w:r w:rsidR="00014D24" w:rsidRPr="002928E4">
        <w:rPr>
          <w:sz w:val="20"/>
          <w:szCs w:val="20"/>
        </w:rPr>
        <w:t xml:space="preserve">earch </w:t>
      </w:r>
      <w:r w:rsidRPr="002928E4">
        <w:rPr>
          <w:sz w:val="20"/>
          <w:szCs w:val="20"/>
        </w:rPr>
        <w:t>s</w:t>
      </w:r>
      <w:r w:rsidR="00014D24" w:rsidRPr="002928E4">
        <w:rPr>
          <w:sz w:val="20"/>
          <w:szCs w:val="20"/>
        </w:rPr>
        <w:t>paces</w:t>
      </w:r>
      <w:r w:rsidR="008A7606">
        <w:rPr>
          <w:sz w:val="20"/>
          <w:szCs w:val="20"/>
        </w:rPr>
        <w:t>, each of which defin</w:t>
      </w:r>
      <w:r w:rsidR="008A7606" w:rsidRPr="00515D5F">
        <w:rPr>
          <w:sz w:val="20"/>
          <w:szCs w:val="20"/>
        </w:rPr>
        <w:t>es a slot period &amp; offset</w:t>
      </w:r>
      <w:r w:rsidR="00A66F00">
        <w:rPr>
          <w:sz w:val="20"/>
          <w:szCs w:val="20"/>
        </w:rPr>
        <w:t>, a slot duration</w:t>
      </w:r>
      <w:r w:rsidR="008A7606" w:rsidRPr="00515D5F">
        <w:rPr>
          <w:sz w:val="20"/>
          <w:szCs w:val="20"/>
        </w:rPr>
        <w:t xml:space="preserve"> and a symbol bitmap</w:t>
      </w:r>
      <w:r w:rsidRPr="00515D5F">
        <w:rPr>
          <w:sz w:val="20"/>
          <w:szCs w:val="20"/>
        </w:rPr>
        <w:t>.</w:t>
      </w:r>
      <w:r w:rsidR="008A7606" w:rsidRPr="00515D5F">
        <w:rPr>
          <w:sz w:val="20"/>
          <w:szCs w:val="20"/>
        </w:rPr>
        <w:t xml:space="preserve"> </w:t>
      </w:r>
      <w:r w:rsidRPr="00515D5F">
        <w:rPr>
          <w:sz w:val="20"/>
          <w:szCs w:val="20"/>
        </w:rPr>
        <w:t xml:space="preserve">Up to </w:t>
      </w:r>
      <w:r w:rsidR="00014D24" w:rsidRPr="00515D5F">
        <w:rPr>
          <w:sz w:val="20"/>
          <w:szCs w:val="20"/>
        </w:rPr>
        <w:t xml:space="preserve">10 </w:t>
      </w:r>
      <w:r w:rsidRPr="00515D5F">
        <w:rPr>
          <w:sz w:val="20"/>
          <w:szCs w:val="20"/>
        </w:rPr>
        <w:t>search spaces can be configured</w:t>
      </w:r>
      <w:r w:rsidR="00014D24" w:rsidRPr="00515D5F">
        <w:rPr>
          <w:sz w:val="20"/>
          <w:szCs w:val="20"/>
        </w:rPr>
        <w:t xml:space="preserve"> per PDCCH-Config</w:t>
      </w:r>
      <w:r w:rsidR="008F03A0" w:rsidRPr="00515D5F">
        <w:rPr>
          <w:sz w:val="20"/>
          <w:szCs w:val="20"/>
        </w:rPr>
        <w:t>.</w:t>
      </w:r>
    </w:p>
    <w:p w14:paraId="78DBC2B1" w14:textId="35D53AEE" w:rsidR="003F0367" w:rsidRPr="00ED7888" w:rsidRDefault="00014D24" w:rsidP="003C6EA0">
      <w:pPr>
        <w:spacing w:after="120"/>
        <w:jc w:val="both"/>
        <w:textAlignment w:val="baseline"/>
        <w:rPr>
          <w:color w:val="000000" w:themeColor="text1"/>
        </w:rPr>
      </w:pPr>
      <w:r w:rsidRPr="00014D24">
        <w:t>Using the above features,</w:t>
      </w:r>
      <w:r w:rsidR="00E869B9">
        <w:t xml:space="preserve"> although</w:t>
      </w:r>
      <w:r w:rsidRPr="00014D24">
        <w:t xml:space="preserve"> PDCCH monitoring (including AL16) over non-contiguous </w:t>
      </w:r>
      <w:r w:rsidR="00B42376">
        <w:t xml:space="preserve">set of downlink RB groups </w:t>
      </w:r>
      <w:r w:rsidRPr="00014D24">
        <w:t xml:space="preserve">in </w:t>
      </w:r>
      <w:r w:rsidRPr="003C6EA0">
        <w:t>SBFD partitioned slot/symbols seems feasible</w:t>
      </w:r>
      <w:r w:rsidR="00983D08" w:rsidRPr="003C6EA0">
        <w:t>, however, the flexibility may be limited</w:t>
      </w:r>
      <w:r w:rsidR="00F005CB" w:rsidRPr="003C6EA0">
        <w:t>.</w:t>
      </w:r>
      <w:r w:rsidR="00E869B9" w:rsidRPr="003C6EA0">
        <w:t xml:space="preserve"> </w:t>
      </w:r>
      <w:r w:rsidR="00604F41" w:rsidRPr="003C6EA0">
        <w:t>Configuring</w:t>
      </w:r>
      <w:r w:rsidR="00D30E03" w:rsidRPr="003C6EA0">
        <w:t xml:space="preserve"> </w:t>
      </w:r>
      <w:r w:rsidR="00604F41" w:rsidRPr="003C6EA0">
        <w:t xml:space="preserve">PDCCH monitoring over </w:t>
      </w:r>
      <w:r w:rsidR="00D30E03" w:rsidRPr="003C6EA0">
        <w:t xml:space="preserve">different CORESETs for SBFD and DL-only slots/symbols will require configuring </w:t>
      </w:r>
      <w:r w:rsidR="00604F41" w:rsidRPr="003C6EA0">
        <w:t>separate</w:t>
      </w:r>
      <w:r w:rsidR="00D30E03" w:rsidRPr="003C6EA0">
        <w:t xml:space="preserve"> search space</w:t>
      </w:r>
      <w:r w:rsidR="00604F41" w:rsidRPr="003C6EA0">
        <w:t xml:space="preserve">s </w:t>
      </w:r>
      <w:r w:rsidR="004F2576" w:rsidRPr="003C6EA0">
        <w:t xml:space="preserve">possibly </w:t>
      </w:r>
      <w:r w:rsidR="00604F41" w:rsidRPr="003C6EA0">
        <w:t xml:space="preserve">per each slot in the periodic SBFD partition pattern, each with </w:t>
      </w:r>
      <w:r w:rsidR="00604F41" w:rsidRPr="003C6EA0">
        <w:rPr>
          <w:color w:val="000000" w:themeColor="text1"/>
        </w:rPr>
        <w:t>the same slot periodicity but different slot offsets</w:t>
      </w:r>
      <w:r w:rsidR="00515D5F" w:rsidRPr="003C6EA0">
        <w:rPr>
          <w:color w:val="000000" w:themeColor="text1"/>
        </w:rPr>
        <w:t>,</w:t>
      </w:r>
      <w:r w:rsidR="00BA6283" w:rsidRPr="003C6EA0">
        <w:rPr>
          <w:color w:val="000000" w:themeColor="text1"/>
        </w:rPr>
        <w:t xml:space="preserve"> </w:t>
      </w:r>
      <w:r w:rsidR="00A66F00" w:rsidRPr="003C6EA0">
        <w:rPr>
          <w:color w:val="000000" w:themeColor="text1"/>
        </w:rPr>
        <w:t>soon</w:t>
      </w:r>
      <w:r w:rsidR="00BA6283" w:rsidRPr="003C6EA0">
        <w:rPr>
          <w:color w:val="000000" w:themeColor="text1"/>
        </w:rPr>
        <w:t xml:space="preserve"> us</w:t>
      </w:r>
      <w:r w:rsidR="00515D5F" w:rsidRPr="003C6EA0">
        <w:rPr>
          <w:color w:val="000000" w:themeColor="text1"/>
        </w:rPr>
        <w:t>ing</w:t>
      </w:r>
      <w:r w:rsidR="00BA6283" w:rsidRPr="003C6EA0">
        <w:rPr>
          <w:color w:val="000000" w:themeColor="text1"/>
        </w:rPr>
        <w:t xml:space="preserve"> up the maximum number of search spaces that can be configured.</w:t>
      </w:r>
    </w:p>
    <w:p w14:paraId="20B0F07B" w14:textId="766DCA4D" w:rsidR="00B26D0A" w:rsidRPr="00ED7888" w:rsidRDefault="005444E8" w:rsidP="003C6EA0">
      <w:pPr>
        <w:spacing w:after="120"/>
        <w:jc w:val="both"/>
        <w:textAlignment w:val="baseline"/>
        <w:rPr>
          <w:color w:val="000000" w:themeColor="text1"/>
        </w:rPr>
      </w:pPr>
      <w:r w:rsidRPr="00ED7888">
        <w:rPr>
          <w:color w:val="000000" w:themeColor="text1"/>
        </w:rPr>
        <w:t xml:space="preserve">Therefore, </w:t>
      </w:r>
      <w:r w:rsidR="00E21F16" w:rsidRPr="00ED7888">
        <w:rPr>
          <w:color w:val="000000" w:themeColor="text1"/>
        </w:rPr>
        <w:t>it seems necessary to bring enhancements to Search Space configuration which allow adaptation to SBFD partitioning</w:t>
      </w:r>
      <w:r w:rsidR="00ED7888" w:rsidRPr="00ED7888">
        <w:rPr>
          <w:color w:val="000000" w:themeColor="text1"/>
        </w:rPr>
        <w:t>:</w:t>
      </w:r>
      <w:r w:rsidR="000B7B49" w:rsidRPr="00ED7888">
        <w:rPr>
          <w:color w:val="000000" w:themeColor="text1"/>
        </w:rPr>
        <w:t xml:space="preserve"> </w:t>
      </w:r>
      <w:r w:rsidR="00ED7888" w:rsidRPr="00ED7888">
        <w:rPr>
          <w:color w:val="000000" w:themeColor="text1"/>
        </w:rPr>
        <w:t>for instance,</w:t>
      </w:r>
      <w:r w:rsidR="000B7B49" w:rsidRPr="00ED7888">
        <w:rPr>
          <w:color w:val="000000" w:themeColor="text1"/>
        </w:rPr>
        <w:t xml:space="preserve"> CORESETs or search spaces could be linked to SBFD subbands.</w:t>
      </w:r>
      <w:r w:rsidR="00ED7888" w:rsidRPr="00ED7888">
        <w:rPr>
          <w:color w:val="000000" w:themeColor="text1"/>
        </w:rPr>
        <w:t xml:space="preserve"> </w:t>
      </w:r>
    </w:p>
    <w:p w14:paraId="20C04DBF" w14:textId="3305651E" w:rsidR="00BE50AE" w:rsidRPr="003C6EA0" w:rsidRDefault="00BE50AE" w:rsidP="003C6EA0">
      <w:pPr>
        <w:spacing w:after="120"/>
        <w:jc w:val="both"/>
        <w:rPr>
          <w:rFonts w:cstheme="minorHAnsi"/>
          <w:b/>
          <w:bCs/>
          <w:i/>
          <w:iCs/>
        </w:rPr>
      </w:pPr>
      <w:bookmarkStart w:id="9" w:name="_Ref111208268"/>
      <w:r w:rsidRPr="003C6EA0">
        <w:rPr>
          <w:rFonts w:cstheme="minorHAnsi"/>
          <w:b/>
          <w:bCs/>
          <w:i/>
          <w:iCs/>
        </w:rPr>
        <w:t>Observation</w:t>
      </w:r>
      <w:r w:rsidR="00CA7488" w:rsidRPr="003C6EA0">
        <w:rPr>
          <w:rFonts w:cstheme="minorHAnsi"/>
          <w:b/>
          <w:bCs/>
          <w:i/>
          <w:iCs/>
        </w:rPr>
        <w:t xml:space="preserve"> </w:t>
      </w:r>
      <w:r w:rsidR="00CA7488" w:rsidRPr="003C6EA0">
        <w:rPr>
          <w:b/>
          <w:bCs/>
          <w:i/>
          <w:iCs/>
        </w:rPr>
        <w:fldChar w:fldCharType="begin"/>
      </w:r>
      <w:r w:rsidR="00CA7488" w:rsidRPr="003C6EA0">
        <w:rPr>
          <w:b/>
          <w:bCs/>
          <w:i/>
          <w:iCs/>
        </w:rPr>
        <w:instrText xml:space="preserve"> SEQ Observation \* ARABIC </w:instrText>
      </w:r>
      <w:r w:rsidR="00CA7488" w:rsidRPr="003C6EA0">
        <w:rPr>
          <w:b/>
          <w:bCs/>
          <w:i/>
          <w:iCs/>
        </w:rPr>
        <w:fldChar w:fldCharType="separate"/>
      </w:r>
      <w:r w:rsidR="00D17601">
        <w:rPr>
          <w:b/>
          <w:bCs/>
          <w:i/>
          <w:iCs/>
          <w:noProof/>
        </w:rPr>
        <w:t>2</w:t>
      </w:r>
      <w:r w:rsidR="00CA7488" w:rsidRPr="003C6EA0">
        <w:rPr>
          <w:b/>
          <w:bCs/>
          <w:i/>
          <w:iCs/>
        </w:rPr>
        <w:fldChar w:fldCharType="end"/>
      </w:r>
      <w:r w:rsidRPr="003C6EA0">
        <w:rPr>
          <w:rFonts w:cstheme="minorHAnsi"/>
          <w:b/>
          <w:bCs/>
          <w:i/>
          <w:iCs/>
        </w:rPr>
        <w:t>: CORESET allocation readily supports non-contiguous frequency-domain allocation and monitoring up to three different CORESETs in a BWP.</w:t>
      </w:r>
      <w:bookmarkEnd w:id="9"/>
      <w:r w:rsidRPr="003C6EA0">
        <w:rPr>
          <w:rFonts w:cstheme="minorHAnsi"/>
          <w:b/>
          <w:bCs/>
          <w:i/>
          <w:iCs/>
        </w:rPr>
        <w:t xml:space="preserve"> </w:t>
      </w:r>
    </w:p>
    <w:p w14:paraId="0C736E7C" w14:textId="1F282BE9" w:rsidR="00BE50AE" w:rsidRPr="003C6EA0" w:rsidRDefault="00BE50AE" w:rsidP="003C6EA0">
      <w:pPr>
        <w:spacing w:after="120"/>
        <w:jc w:val="both"/>
        <w:rPr>
          <w:rFonts w:cstheme="minorHAnsi"/>
          <w:b/>
          <w:bCs/>
          <w:i/>
          <w:iCs/>
        </w:rPr>
      </w:pPr>
      <w:bookmarkStart w:id="10" w:name="_Ref111210477"/>
      <w:r w:rsidRPr="003C6EA0">
        <w:rPr>
          <w:rFonts w:cstheme="minorHAnsi"/>
          <w:b/>
          <w:bCs/>
          <w:i/>
          <w:iCs/>
        </w:rPr>
        <w:t>Observation</w:t>
      </w:r>
      <w:r w:rsidR="00CA7488" w:rsidRPr="003C6EA0">
        <w:rPr>
          <w:rFonts w:cstheme="minorHAnsi"/>
          <w:b/>
          <w:bCs/>
          <w:i/>
          <w:iCs/>
        </w:rPr>
        <w:t xml:space="preserve"> </w:t>
      </w:r>
      <w:r w:rsidR="00CA7488" w:rsidRPr="003C6EA0">
        <w:rPr>
          <w:b/>
          <w:bCs/>
          <w:i/>
          <w:iCs/>
        </w:rPr>
        <w:fldChar w:fldCharType="begin"/>
      </w:r>
      <w:r w:rsidR="00CA7488" w:rsidRPr="003C6EA0">
        <w:rPr>
          <w:b/>
          <w:bCs/>
          <w:i/>
          <w:iCs/>
        </w:rPr>
        <w:instrText xml:space="preserve"> SEQ Observation \* ARABIC </w:instrText>
      </w:r>
      <w:r w:rsidR="00CA7488" w:rsidRPr="003C6EA0">
        <w:rPr>
          <w:b/>
          <w:bCs/>
          <w:i/>
          <w:iCs/>
        </w:rPr>
        <w:fldChar w:fldCharType="separate"/>
      </w:r>
      <w:r w:rsidR="00D17601">
        <w:rPr>
          <w:b/>
          <w:bCs/>
          <w:i/>
          <w:iCs/>
          <w:noProof/>
        </w:rPr>
        <w:t>3</w:t>
      </w:r>
      <w:r w:rsidR="00CA7488" w:rsidRPr="003C6EA0">
        <w:rPr>
          <w:b/>
          <w:bCs/>
          <w:i/>
          <w:iCs/>
        </w:rPr>
        <w:fldChar w:fldCharType="end"/>
      </w:r>
      <w:r w:rsidRPr="003C6EA0">
        <w:rPr>
          <w:rFonts w:cstheme="minorHAnsi"/>
          <w:b/>
          <w:bCs/>
          <w:i/>
          <w:iCs/>
        </w:rPr>
        <w:t xml:space="preserve">: </w:t>
      </w:r>
      <w:r w:rsidR="004F2576" w:rsidRPr="003C6EA0">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Pr="003C6EA0">
        <w:rPr>
          <w:rFonts w:cstheme="minorHAnsi"/>
          <w:b/>
          <w:bCs/>
          <w:i/>
          <w:iCs/>
        </w:rPr>
        <w:t>.</w:t>
      </w:r>
      <w:bookmarkEnd w:id="10"/>
      <w:r w:rsidRPr="003C6EA0">
        <w:rPr>
          <w:rFonts w:cstheme="minorHAnsi"/>
          <w:b/>
          <w:bCs/>
          <w:i/>
          <w:iCs/>
        </w:rPr>
        <w:t xml:space="preserve"> </w:t>
      </w:r>
    </w:p>
    <w:p w14:paraId="5A111B4B" w14:textId="1E80FA51" w:rsidR="00CE61AE" w:rsidRPr="003C6EA0" w:rsidRDefault="00BE50AE" w:rsidP="003C6EA0">
      <w:pPr>
        <w:spacing w:after="120"/>
        <w:jc w:val="both"/>
        <w:rPr>
          <w:b/>
          <w:bCs/>
          <w:i/>
          <w:iCs/>
        </w:rPr>
      </w:pPr>
      <w:bookmarkStart w:id="11" w:name="_Ref111210881"/>
      <w:r w:rsidRPr="003C6EA0">
        <w:rPr>
          <w:rFonts w:cstheme="minorHAnsi"/>
          <w:b/>
          <w:bCs/>
          <w:i/>
          <w:iCs/>
        </w:rPr>
        <w:t>Proposal</w:t>
      </w:r>
      <w:r w:rsidR="00CA7488" w:rsidRPr="003C6EA0">
        <w:rPr>
          <w:rFonts w:cstheme="minorHAnsi"/>
          <w:b/>
          <w:bCs/>
          <w:i/>
          <w:iCs/>
        </w:rPr>
        <w:t xml:space="preserve"> </w:t>
      </w:r>
      <w:r w:rsidR="00CA7488" w:rsidRPr="003C6EA0">
        <w:rPr>
          <w:b/>
          <w:bCs/>
          <w:i/>
          <w:iCs/>
        </w:rPr>
        <w:fldChar w:fldCharType="begin"/>
      </w:r>
      <w:r w:rsidR="00CA7488" w:rsidRPr="003C6EA0">
        <w:rPr>
          <w:b/>
          <w:bCs/>
          <w:i/>
          <w:iCs/>
        </w:rPr>
        <w:instrText xml:space="preserve"> SEQ Proposal \* ARABIC </w:instrText>
      </w:r>
      <w:r w:rsidR="00CA7488" w:rsidRPr="003C6EA0">
        <w:rPr>
          <w:b/>
          <w:bCs/>
          <w:i/>
          <w:iCs/>
        </w:rPr>
        <w:fldChar w:fldCharType="separate"/>
      </w:r>
      <w:r w:rsidR="00D17601">
        <w:rPr>
          <w:b/>
          <w:bCs/>
          <w:i/>
          <w:iCs/>
          <w:noProof/>
        </w:rPr>
        <w:t>2</w:t>
      </w:r>
      <w:r w:rsidR="00CA7488" w:rsidRPr="003C6EA0">
        <w:rPr>
          <w:b/>
          <w:bCs/>
          <w:i/>
          <w:iCs/>
        </w:rPr>
        <w:fldChar w:fldCharType="end"/>
      </w:r>
      <w:r w:rsidRPr="003C6EA0">
        <w:rPr>
          <w:rFonts w:cstheme="minorHAnsi"/>
          <w:b/>
          <w:bCs/>
          <w:i/>
          <w:iCs/>
        </w:rPr>
        <w:t xml:space="preserve">: </w:t>
      </w:r>
      <w:r w:rsidR="003806CA" w:rsidRPr="003C6EA0">
        <w:rPr>
          <w:rFonts w:cstheme="minorHAnsi"/>
          <w:b/>
          <w:bCs/>
          <w:i/>
          <w:iCs/>
        </w:rPr>
        <w:t xml:space="preserve">Study </w:t>
      </w:r>
      <w:r w:rsidR="004F2576" w:rsidRPr="003C6EA0">
        <w:rPr>
          <w:rFonts w:cstheme="minorHAnsi"/>
          <w:b/>
          <w:bCs/>
          <w:i/>
          <w:iCs/>
        </w:rPr>
        <w:t>enhancements</w:t>
      </w:r>
      <w:r w:rsidR="003806CA" w:rsidRPr="003C6EA0">
        <w:rPr>
          <w:rFonts w:cstheme="minorHAnsi"/>
          <w:b/>
          <w:bCs/>
          <w:i/>
          <w:iCs/>
        </w:rPr>
        <w:t xml:space="preserve"> </w:t>
      </w:r>
      <w:r w:rsidR="004F2576" w:rsidRPr="003C6EA0">
        <w:rPr>
          <w:rFonts w:cstheme="minorHAnsi"/>
          <w:b/>
          <w:bCs/>
          <w:i/>
          <w:iCs/>
        </w:rPr>
        <w:t>to</w:t>
      </w:r>
      <w:r w:rsidR="00C05A3E" w:rsidRPr="003C6EA0">
        <w:rPr>
          <w:rFonts w:cstheme="minorHAnsi"/>
          <w:b/>
          <w:bCs/>
          <w:i/>
          <w:iCs/>
        </w:rPr>
        <w:t xml:space="preserve"> </w:t>
      </w:r>
      <w:r w:rsidRPr="003C6EA0">
        <w:rPr>
          <w:rFonts w:cstheme="minorHAnsi"/>
          <w:b/>
          <w:bCs/>
          <w:i/>
          <w:iCs/>
        </w:rPr>
        <w:t xml:space="preserve">Search </w:t>
      </w:r>
      <w:r w:rsidR="004F2576" w:rsidRPr="003C6EA0">
        <w:rPr>
          <w:rFonts w:cstheme="minorHAnsi"/>
          <w:b/>
          <w:bCs/>
          <w:i/>
          <w:iCs/>
        </w:rPr>
        <w:t>S</w:t>
      </w:r>
      <w:r w:rsidRPr="003C6EA0">
        <w:rPr>
          <w:rFonts w:cstheme="minorHAnsi"/>
          <w:b/>
          <w:bCs/>
          <w:i/>
          <w:iCs/>
        </w:rPr>
        <w:t>pace</w:t>
      </w:r>
      <w:r w:rsidR="004F2576" w:rsidRPr="003C6EA0">
        <w:rPr>
          <w:rFonts w:cstheme="minorHAnsi"/>
          <w:b/>
          <w:bCs/>
          <w:i/>
          <w:iCs/>
        </w:rPr>
        <w:t xml:space="preserve"> configuration</w:t>
      </w:r>
      <w:r w:rsidRPr="003C6EA0">
        <w:rPr>
          <w:rFonts w:cstheme="minorHAnsi"/>
          <w:b/>
          <w:bCs/>
          <w:i/>
          <w:iCs/>
        </w:rPr>
        <w:t xml:space="preserve"> </w:t>
      </w:r>
      <w:r w:rsidR="00E21F16" w:rsidRPr="003C6EA0">
        <w:rPr>
          <w:rFonts w:cstheme="minorHAnsi"/>
          <w:b/>
          <w:bCs/>
          <w:i/>
          <w:iCs/>
        </w:rPr>
        <w:t>which</w:t>
      </w:r>
      <w:r w:rsidR="004F2576" w:rsidRPr="003C6EA0">
        <w:rPr>
          <w:rFonts w:cstheme="minorHAnsi"/>
          <w:b/>
          <w:bCs/>
          <w:i/>
          <w:iCs/>
        </w:rPr>
        <w:t xml:space="preserve"> allow adaptation</w:t>
      </w:r>
      <w:r w:rsidRPr="003C6EA0">
        <w:rPr>
          <w:rFonts w:cstheme="minorHAnsi"/>
          <w:b/>
          <w:bCs/>
          <w:i/>
          <w:iCs/>
        </w:rPr>
        <w:t xml:space="preserve"> </w:t>
      </w:r>
      <w:r w:rsidR="004F2576" w:rsidRPr="003C6EA0">
        <w:rPr>
          <w:rFonts w:cstheme="minorHAnsi"/>
          <w:b/>
          <w:bCs/>
          <w:i/>
          <w:iCs/>
        </w:rPr>
        <w:t>to</w:t>
      </w:r>
      <w:r w:rsidRPr="003C6EA0">
        <w:rPr>
          <w:rFonts w:cstheme="minorHAnsi"/>
          <w:b/>
          <w:bCs/>
          <w:i/>
          <w:iCs/>
        </w:rPr>
        <w:t xml:space="preserve"> SBFD partitioning.</w:t>
      </w:r>
      <w:bookmarkEnd w:id="11"/>
    </w:p>
    <w:p w14:paraId="2A1136A2" w14:textId="3A9595B9" w:rsidR="00A7051B" w:rsidRPr="00297284" w:rsidRDefault="00BE50AE" w:rsidP="00BE50AE">
      <w:pPr>
        <w:pStyle w:val="Heading3"/>
      </w:pPr>
      <w:r>
        <w:t xml:space="preserve">PDSCH allocation </w:t>
      </w:r>
      <w:r w:rsidRPr="00BE50AE">
        <w:t>in SBFD symbols</w:t>
      </w:r>
    </w:p>
    <w:p w14:paraId="4A2CD9A2" w14:textId="677DE90E" w:rsidR="00C63C95" w:rsidRPr="00DD66E4" w:rsidRDefault="00B70106" w:rsidP="00872959">
      <w:pPr>
        <w:shd w:val="clear" w:color="auto" w:fill="FFFFFF"/>
        <w:spacing w:after="120"/>
        <w:jc w:val="both"/>
        <w:rPr>
          <w:color w:val="000000" w:themeColor="text1"/>
        </w:rPr>
      </w:pPr>
      <w:r w:rsidRPr="00D361D6">
        <w:rPr>
          <w:color w:val="000000" w:themeColor="text1"/>
        </w:rPr>
        <w:t>Frequency-domain PDSCH allocation is dynamically indicated through DCI</w:t>
      </w:r>
      <w:r w:rsidR="00BC6E00" w:rsidRPr="00D361D6">
        <w:rPr>
          <w:color w:val="000000" w:themeColor="text1"/>
        </w:rPr>
        <w:t>,</w:t>
      </w:r>
      <w:r w:rsidRPr="00D361D6">
        <w:rPr>
          <w:color w:val="000000" w:themeColor="text1"/>
        </w:rPr>
        <w:t xml:space="preserve"> </w:t>
      </w:r>
      <w:r w:rsidR="002E191D" w:rsidRPr="00D361D6">
        <w:rPr>
          <w:color w:val="000000" w:themeColor="text1"/>
        </w:rPr>
        <w:t>using</w:t>
      </w:r>
      <w:r w:rsidR="00BC6E00" w:rsidRPr="00D361D6">
        <w:rPr>
          <w:color w:val="000000" w:themeColor="text1"/>
        </w:rPr>
        <w:t xml:space="preserve"> either</w:t>
      </w:r>
      <w:r w:rsidR="002E191D" w:rsidRPr="00D361D6">
        <w:rPr>
          <w:color w:val="000000" w:themeColor="text1"/>
        </w:rPr>
        <w:t xml:space="preserve"> </w:t>
      </w:r>
      <w:r w:rsidRPr="00D361D6">
        <w:rPr>
          <w:color w:val="000000" w:themeColor="text1"/>
        </w:rPr>
        <w:t>Type-0 or Type-1 format.</w:t>
      </w:r>
      <w:r w:rsidR="00EF5DF8" w:rsidRPr="00D361D6">
        <w:rPr>
          <w:color w:val="000000" w:themeColor="text1"/>
        </w:rPr>
        <w:t xml:space="preserve"> </w:t>
      </w:r>
      <w:r w:rsidR="00E50942" w:rsidRPr="00D361D6">
        <w:rPr>
          <w:color w:val="000000" w:themeColor="text1"/>
        </w:rPr>
        <w:t>Type-0 FDRA</w:t>
      </w:r>
      <w:r w:rsidR="00EF5DF8" w:rsidRPr="00D361D6">
        <w:rPr>
          <w:color w:val="000000" w:themeColor="text1"/>
        </w:rPr>
        <w:t xml:space="preserve"> </w:t>
      </w:r>
      <w:r w:rsidR="00E50942" w:rsidRPr="00D361D6">
        <w:rPr>
          <w:color w:val="000000" w:themeColor="text1"/>
        </w:rPr>
        <w:t>is</w:t>
      </w:r>
      <w:r w:rsidR="00A96097" w:rsidRPr="00D361D6">
        <w:rPr>
          <w:color w:val="000000" w:themeColor="text1"/>
        </w:rPr>
        <w:t xml:space="preserve"> based on a bitmap where each bit represents an RB group with RB size depending on BWP-size and a binary configuration option </w:t>
      </w:r>
      <w:r w:rsidR="009134DE">
        <w:rPr>
          <w:color w:val="000000" w:themeColor="text1"/>
        </w:rPr>
        <w:t>that allows</w:t>
      </w:r>
      <w:r w:rsidR="00A96097" w:rsidRPr="00D361D6">
        <w:rPr>
          <w:color w:val="000000" w:themeColor="text1"/>
        </w:rPr>
        <w:t xml:space="preserve"> </w:t>
      </w:r>
      <w:r w:rsidR="00930D91" w:rsidRPr="00D361D6">
        <w:rPr>
          <w:color w:val="000000" w:themeColor="text1"/>
        </w:rPr>
        <w:t>halving the bitmap size (max. 18 vs. max 9 bits</w:t>
      </w:r>
      <w:r w:rsidR="001A17FF" w:rsidRPr="00D361D6">
        <w:rPr>
          <w:color w:val="000000" w:themeColor="text1"/>
        </w:rPr>
        <w:t>, i.e. RBGs</w:t>
      </w:r>
      <w:r w:rsidR="00930D91" w:rsidRPr="00D361D6">
        <w:rPr>
          <w:color w:val="000000" w:themeColor="text1"/>
        </w:rPr>
        <w:t>) at the expense of doubling the RBG size (a power of two between 2 and 16 RBs)</w:t>
      </w:r>
      <w:r w:rsidR="00BC6E00" w:rsidRPr="00D361D6">
        <w:rPr>
          <w:color w:val="000000" w:themeColor="text1"/>
        </w:rPr>
        <w:t>.</w:t>
      </w:r>
      <w:r w:rsidR="001A17FF" w:rsidRPr="00D361D6">
        <w:rPr>
          <w:color w:val="000000" w:themeColor="text1"/>
        </w:rPr>
        <w:t xml:space="preserve"> </w:t>
      </w:r>
      <w:r w:rsidR="00D13281" w:rsidRPr="00DD66E4">
        <w:rPr>
          <w:color w:val="000000" w:themeColor="text1"/>
        </w:rPr>
        <w:t xml:space="preserve">Thus, </w:t>
      </w:r>
      <w:r w:rsidR="001A17FF" w:rsidRPr="00DD66E4">
        <w:rPr>
          <w:color w:val="000000" w:themeColor="text1"/>
        </w:rPr>
        <w:t xml:space="preserve">FDRA Type-0 readily </w:t>
      </w:r>
      <w:r w:rsidR="000D1901" w:rsidRPr="00DD66E4">
        <w:rPr>
          <w:color w:val="000000" w:themeColor="text1"/>
        </w:rPr>
        <w:t xml:space="preserve">allows for </w:t>
      </w:r>
      <w:r w:rsidR="00D13281" w:rsidRPr="00DD66E4">
        <w:rPr>
          <w:color w:val="000000" w:themeColor="text1"/>
        </w:rPr>
        <w:t xml:space="preserve">rather flexible, </w:t>
      </w:r>
      <w:r w:rsidR="000D1901" w:rsidRPr="00DD66E4">
        <w:rPr>
          <w:color w:val="000000" w:themeColor="text1"/>
        </w:rPr>
        <w:t xml:space="preserve">non-contiguous </w:t>
      </w:r>
      <w:r w:rsidR="00BC0EA3" w:rsidRPr="00DD66E4">
        <w:rPr>
          <w:color w:val="000000" w:themeColor="text1"/>
        </w:rPr>
        <w:t xml:space="preserve">RB </w:t>
      </w:r>
      <w:r w:rsidR="000D1901" w:rsidRPr="00DD66E4">
        <w:rPr>
          <w:color w:val="000000" w:themeColor="text1"/>
        </w:rPr>
        <w:t>allocations, which may be required in SBFD operation to allocate RBs from multiple, non-contiguous DL subbands.</w:t>
      </w:r>
    </w:p>
    <w:p w14:paraId="2F22B27C" w14:textId="5DA01EAA" w:rsidR="006A0A36" w:rsidRDefault="00D54637" w:rsidP="00872959">
      <w:pPr>
        <w:shd w:val="clear" w:color="auto" w:fill="FFFFFF"/>
        <w:spacing w:after="120"/>
        <w:jc w:val="both"/>
        <w:rPr>
          <w:color w:val="000000" w:themeColor="text1"/>
        </w:rPr>
      </w:pPr>
      <w:r w:rsidRPr="00DD66E4">
        <w:rPr>
          <w:color w:val="000000" w:themeColor="text1"/>
        </w:rPr>
        <w:t xml:space="preserve">However, some resource fragmentation may occur </w:t>
      </w:r>
      <w:r w:rsidR="00E77357" w:rsidRPr="00DD66E4">
        <w:rPr>
          <w:color w:val="000000" w:themeColor="text1"/>
        </w:rPr>
        <w:t>at the edge(s) of DL subband(s) near the UL-subband(s)</w:t>
      </w:r>
      <w:r w:rsidR="00AD432E" w:rsidRPr="00DD66E4">
        <w:rPr>
          <w:color w:val="000000" w:themeColor="text1"/>
        </w:rPr>
        <w:t xml:space="preserve"> with FDRA Type-0</w:t>
      </w:r>
      <w:r w:rsidR="00E77357" w:rsidRPr="00DD66E4">
        <w:rPr>
          <w:color w:val="000000" w:themeColor="text1"/>
        </w:rPr>
        <w:t>.</w:t>
      </w:r>
      <w:r w:rsidR="001A1061" w:rsidRPr="00DD66E4">
        <w:rPr>
          <w:color w:val="000000" w:themeColor="text1"/>
        </w:rPr>
        <w:t xml:space="preserve"> </w:t>
      </w:r>
      <w:r w:rsidR="00664234" w:rsidRPr="00DD66E4">
        <w:rPr>
          <w:color w:val="000000" w:themeColor="text1"/>
        </w:rPr>
        <w:t xml:space="preserve">Based on </w:t>
      </w:r>
      <w:r w:rsidR="009134DE" w:rsidRPr="00DD66E4">
        <w:rPr>
          <w:color w:val="000000" w:themeColor="text1"/>
        </w:rPr>
        <w:t xml:space="preserve">the </w:t>
      </w:r>
      <w:r w:rsidR="00664234" w:rsidRPr="00DD66E4">
        <w:rPr>
          <w:color w:val="000000" w:themeColor="text1"/>
        </w:rPr>
        <w:t xml:space="preserve">knowledge of </w:t>
      </w:r>
      <w:r w:rsidR="00A707A5" w:rsidRPr="00DD66E4">
        <w:rPr>
          <w:color w:val="000000" w:themeColor="text1"/>
        </w:rPr>
        <w:t xml:space="preserve">partitioned symbols and the </w:t>
      </w:r>
      <w:r w:rsidR="00664234" w:rsidRPr="00DD66E4">
        <w:rPr>
          <w:color w:val="000000" w:themeColor="text1"/>
        </w:rPr>
        <w:t>boundary between DL and UL subbands, the UE should support Type-0 FDRA comprising</w:t>
      </w:r>
      <w:r w:rsidR="001A1061" w:rsidRPr="00DD66E4">
        <w:rPr>
          <w:color w:val="000000" w:themeColor="text1"/>
        </w:rPr>
        <w:t xml:space="preserve"> </w:t>
      </w:r>
      <w:r w:rsidR="00BC6E00" w:rsidRPr="00DD66E4">
        <w:rPr>
          <w:color w:val="000000" w:themeColor="text1"/>
        </w:rPr>
        <w:t xml:space="preserve">fractional RBGs </w:t>
      </w:r>
      <w:r w:rsidR="00664234" w:rsidRPr="00DD66E4">
        <w:rPr>
          <w:color w:val="000000" w:themeColor="text1"/>
        </w:rPr>
        <w:t>at such boundar</w:t>
      </w:r>
      <w:r w:rsidR="009134DE" w:rsidRPr="00DD66E4">
        <w:rPr>
          <w:color w:val="000000" w:themeColor="text1"/>
        </w:rPr>
        <w:t>ies</w:t>
      </w:r>
      <w:r w:rsidR="00AD432E" w:rsidRPr="00DD66E4">
        <w:rPr>
          <w:color w:val="000000" w:themeColor="text1"/>
        </w:rPr>
        <w:t xml:space="preserve">, </w:t>
      </w:r>
      <w:r w:rsidR="005C714E" w:rsidRPr="00DD66E4">
        <w:rPr>
          <w:color w:val="000000" w:themeColor="text1"/>
        </w:rPr>
        <w:t xml:space="preserve">in much the same way </w:t>
      </w:r>
      <w:r w:rsidR="00AD432E" w:rsidRPr="00DD66E4">
        <w:rPr>
          <w:color w:val="000000" w:themeColor="text1"/>
        </w:rPr>
        <w:t xml:space="preserve">as </w:t>
      </w:r>
      <w:r w:rsidR="005C714E" w:rsidRPr="00DD66E4">
        <w:rPr>
          <w:color w:val="000000" w:themeColor="text1"/>
        </w:rPr>
        <w:t>in</w:t>
      </w:r>
      <w:r w:rsidR="00AD432E" w:rsidRPr="00DD66E4">
        <w:rPr>
          <w:color w:val="000000" w:themeColor="text1"/>
        </w:rPr>
        <w:t xml:space="preserve"> the case </w:t>
      </w:r>
      <w:r w:rsidR="005C714E" w:rsidRPr="00DD66E4">
        <w:rPr>
          <w:color w:val="000000" w:themeColor="text1"/>
        </w:rPr>
        <w:t>of fraction</w:t>
      </w:r>
      <w:r w:rsidR="009134DE" w:rsidRPr="00DD66E4">
        <w:rPr>
          <w:color w:val="000000" w:themeColor="text1"/>
        </w:rPr>
        <w:t>al</w:t>
      </w:r>
      <w:r w:rsidR="005C714E" w:rsidRPr="00DD66E4">
        <w:rPr>
          <w:color w:val="000000" w:themeColor="text1"/>
        </w:rPr>
        <w:t xml:space="preserve"> RBGs at</w:t>
      </w:r>
      <w:r w:rsidR="00AD432E" w:rsidRPr="00DD66E4">
        <w:rPr>
          <w:color w:val="000000" w:themeColor="text1"/>
        </w:rPr>
        <w:t xml:space="preserve"> BWP edges</w:t>
      </w:r>
      <w:r w:rsidR="005C714E" w:rsidRPr="00DD66E4">
        <w:rPr>
          <w:color w:val="000000" w:themeColor="text1"/>
        </w:rPr>
        <w:t xml:space="preserve"> according to the current standard</w:t>
      </w:r>
      <w:r w:rsidR="00664234" w:rsidRPr="00DD66E4">
        <w:rPr>
          <w:color w:val="000000" w:themeColor="text1"/>
        </w:rPr>
        <w:t>, as illustrated in</w:t>
      </w:r>
      <w:r w:rsidR="001A1061" w:rsidRPr="00DD66E4">
        <w:rPr>
          <w:color w:val="000000" w:themeColor="text1"/>
        </w:rPr>
        <w:t xml:space="preserve"> </w:t>
      </w:r>
      <w:r w:rsidR="00D361D6" w:rsidRPr="00DD66E4">
        <w:rPr>
          <w:color w:val="000000" w:themeColor="text1"/>
        </w:rPr>
        <w:fldChar w:fldCharType="begin"/>
      </w:r>
      <w:r w:rsidR="00D361D6" w:rsidRPr="00DD66E4">
        <w:rPr>
          <w:color w:val="000000" w:themeColor="text1"/>
        </w:rPr>
        <w:instrText xml:space="preserve"> REF _Ref110502974 \h  \* MERGEFORMAT </w:instrText>
      </w:r>
      <w:r w:rsidR="00D361D6" w:rsidRPr="00DD66E4">
        <w:rPr>
          <w:color w:val="000000" w:themeColor="text1"/>
        </w:rPr>
      </w:r>
      <w:r w:rsidR="00D361D6" w:rsidRPr="00DD66E4">
        <w:rPr>
          <w:color w:val="000000" w:themeColor="text1"/>
        </w:rPr>
        <w:fldChar w:fldCharType="separate"/>
      </w:r>
      <w:r w:rsidR="00D17601">
        <w:t xml:space="preserve">Figure </w:t>
      </w:r>
      <w:r w:rsidR="00D17601">
        <w:rPr>
          <w:noProof/>
        </w:rPr>
        <w:t>1</w:t>
      </w:r>
      <w:r w:rsidR="00D361D6" w:rsidRPr="00DD66E4">
        <w:rPr>
          <w:color w:val="000000" w:themeColor="text1"/>
        </w:rPr>
        <w:fldChar w:fldCharType="end"/>
      </w:r>
      <w:r w:rsidR="00D361D6" w:rsidRPr="00DD66E4">
        <w:rPr>
          <w:color w:val="000000" w:themeColor="text1"/>
        </w:rPr>
        <w:t>.</w:t>
      </w:r>
    </w:p>
    <w:p w14:paraId="4E226E21" w14:textId="1E5DD670" w:rsidR="00872959" w:rsidRDefault="00872959" w:rsidP="00872959">
      <w:pPr>
        <w:shd w:val="clear" w:color="auto" w:fill="FFFFFF"/>
        <w:spacing w:after="0"/>
        <w:jc w:val="center"/>
      </w:pPr>
      <w:r>
        <w:rPr>
          <w:noProof/>
        </w:rPr>
        <w:drawing>
          <wp:inline distT="0" distB="0" distL="0" distR="0" wp14:anchorId="27CBBD1B" wp14:editId="14B248DE">
            <wp:extent cx="3949522" cy="3613539"/>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110"/>
                    <a:stretch/>
                  </pic:blipFill>
                  <pic:spPr bwMode="auto">
                    <a:xfrm>
                      <a:off x="0" y="0"/>
                      <a:ext cx="3952838" cy="3616573"/>
                    </a:xfrm>
                    <a:prstGeom prst="rect">
                      <a:avLst/>
                    </a:prstGeom>
                    <a:noFill/>
                    <a:ln>
                      <a:noFill/>
                    </a:ln>
                    <a:extLst>
                      <a:ext uri="{53640926-AAD7-44D8-BBD7-CCE9431645EC}">
                        <a14:shadowObscured xmlns:a14="http://schemas.microsoft.com/office/drawing/2010/main"/>
                      </a:ext>
                    </a:extLst>
                  </pic:spPr>
                </pic:pic>
              </a:graphicData>
            </a:graphic>
          </wp:inline>
        </w:drawing>
      </w:r>
    </w:p>
    <w:p w14:paraId="19E7C01B" w14:textId="6F7078BF" w:rsidR="00872959" w:rsidRDefault="00872959" w:rsidP="00872959">
      <w:pPr>
        <w:jc w:val="center"/>
      </w:pPr>
      <w:bookmarkStart w:id="12" w:name="_Ref110502974"/>
      <w:r>
        <w:t xml:space="preserve">Figure </w:t>
      </w:r>
      <w:r>
        <w:fldChar w:fldCharType="begin"/>
      </w:r>
      <w:r>
        <w:instrText xml:space="preserve"> SEQ Figure \* ARABIC </w:instrText>
      </w:r>
      <w:r>
        <w:fldChar w:fldCharType="separate"/>
      </w:r>
      <w:r w:rsidR="00D17601">
        <w:rPr>
          <w:noProof/>
        </w:rPr>
        <w:t>1</w:t>
      </w:r>
      <w:r>
        <w:fldChar w:fldCharType="end"/>
      </w:r>
      <w:bookmarkEnd w:id="12"/>
      <w:r>
        <w:t>: PDSCH FDRA Type-0 with fractional RBG allocation at DL subbing edges.</w:t>
      </w:r>
    </w:p>
    <w:p w14:paraId="3EC4B4ED" w14:textId="3CDCC55A" w:rsidR="005B0B7D" w:rsidRPr="00D361D6" w:rsidRDefault="005C714E" w:rsidP="00872959">
      <w:pPr>
        <w:shd w:val="clear" w:color="auto" w:fill="FFFFFF"/>
        <w:spacing w:after="120"/>
        <w:jc w:val="both"/>
        <w:rPr>
          <w:color w:val="000000" w:themeColor="text1"/>
        </w:rPr>
      </w:pPr>
      <w:r w:rsidRPr="00D361D6">
        <w:rPr>
          <w:color w:val="000000" w:themeColor="text1"/>
        </w:rPr>
        <w:t xml:space="preserve">Meanwhile, </w:t>
      </w:r>
      <w:r w:rsidR="006A0A36" w:rsidRPr="00D361D6">
        <w:rPr>
          <w:color w:val="000000" w:themeColor="text1"/>
        </w:rPr>
        <w:t xml:space="preserve">Type-1 FDRA </w:t>
      </w:r>
      <w:r w:rsidRPr="00D361D6">
        <w:rPr>
          <w:color w:val="000000" w:themeColor="text1"/>
        </w:rPr>
        <w:t xml:space="preserve">is </w:t>
      </w:r>
      <w:r w:rsidR="006A0A36" w:rsidRPr="00D361D6">
        <w:rPr>
          <w:color w:val="000000" w:themeColor="text1"/>
        </w:rPr>
        <w:t>based on starting RB and RB length</w:t>
      </w:r>
      <w:r w:rsidRPr="00D361D6">
        <w:rPr>
          <w:color w:val="000000" w:themeColor="text1"/>
        </w:rPr>
        <w:t>, hence</w:t>
      </w:r>
      <w:r w:rsidR="006A0A36" w:rsidRPr="00D361D6">
        <w:rPr>
          <w:color w:val="000000" w:themeColor="text1"/>
        </w:rPr>
        <w:t xml:space="preserve"> supports RB granularity allocations but only o</w:t>
      </w:r>
      <w:r w:rsidR="0033778D" w:rsidRPr="00D361D6">
        <w:rPr>
          <w:color w:val="000000" w:themeColor="text1"/>
        </w:rPr>
        <w:t>ver</w:t>
      </w:r>
      <w:r w:rsidR="006A0A36" w:rsidRPr="00D361D6">
        <w:rPr>
          <w:color w:val="000000" w:themeColor="text1"/>
        </w:rPr>
        <w:t xml:space="preserve"> </w:t>
      </w:r>
      <w:r w:rsidR="0033778D" w:rsidRPr="00D361D6">
        <w:rPr>
          <w:color w:val="000000" w:themeColor="text1"/>
        </w:rPr>
        <w:t xml:space="preserve">a </w:t>
      </w:r>
      <w:r w:rsidR="006A0A36" w:rsidRPr="00D361D6">
        <w:rPr>
          <w:color w:val="000000" w:themeColor="text1"/>
        </w:rPr>
        <w:t>contiguous segment</w:t>
      </w:r>
      <w:r w:rsidR="0033778D" w:rsidRPr="00D361D6">
        <w:rPr>
          <w:color w:val="000000" w:themeColor="text1"/>
        </w:rPr>
        <w:t xml:space="preserve"> of VRBs</w:t>
      </w:r>
      <w:r w:rsidR="00961678" w:rsidRPr="00D361D6">
        <w:rPr>
          <w:color w:val="000000" w:themeColor="text1"/>
        </w:rPr>
        <w:t>.</w:t>
      </w:r>
      <w:r w:rsidR="007B4AAE" w:rsidRPr="00D361D6">
        <w:rPr>
          <w:color w:val="000000" w:themeColor="text1"/>
        </w:rPr>
        <w:t xml:space="preserve"> </w:t>
      </w:r>
      <w:r w:rsidR="00961678" w:rsidRPr="00D361D6">
        <w:rPr>
          <w:color w:val="000000" w:themeColor="text1"/>
        </w:rPr>
        <w:t xml:space="preserve">Contrary to Type-0 FDRA where each VRB always maps to the PRB having the same index, in Type-1 FDRA </w:t>
      </w:r>
      <w:r w:rsidR="00273891" w:rsidRPr="00D361D6">
        <w:rPr>
          <w:color w:val="000000" w:themeColor="text1"/>
        </w:rPr>
        <w:t xml:space="preserve">VRB-interleaving can be signalled dynamically, whereby the allocated VRB segment is </w:t>
      </w:r>
      <w:r w:rsidR="00B07293" w:rsidRPr="00D361D6">
        <w:rPr>
          <w:color w:val="000000" w:themeColor="text1"/>
        </w:rPr>
        <w:lastRenderedPageBreak/>
        <w:t>map</w:t>
      </w:r>
      <w:r w:rsidR="00273891" w:rsidRPr="00D361D6">
        <w:rPr>
          <w:color w:val="000000" w:themeColor="text1"/>
        </w:rPr>
        <w:t>ped</w:t>
      </w:r>
      <w:r w:rsidR="00B07293" w:rsidRPr="00D361D6">
        <w:rPr>
          <w:color w:val="000000" w:themeColor="text1"/>
        </w:rPr>
        <w:t xml:space="preserve"> to two PRB segments</w:t>
      </w:r>
      <w:r w:rsidR="007B4AAE" w:rsidRPr="00D361D6">
        <w:rPr>
          <w:color w:val="000000" w:themeColor="text1"/>
        </w:rPr>
        <w:t xml:space="preserve"> </w:t>
      </w:r>
      <w:r w:rsidR="00B07293" w:rsidRPr="00D361D6">
        <w:rPr>
          <w:color w:val="000000" w:themeColor="text1"/>
        </w:rPr>
        <w:t xml:space="preserve">starting at half the </w:t>
      </w:r>
      <w:r w:rsidR="0033778D" w:rsidRPr="00D361D6">
        <w:rPr>
          <w:color w:val="000000" w:themeColor="text1"/>
        </w:rPr>
        <w:t xml:space="preserve">active </w:t>
      </w:r>
      <w:r w:rsidR="00B07293" w:rsidRPr="00D361D6">
        <w:rPr>
          <w:color w:val="000000" w:themeColor="text1"/>
        </w:rPr>
        <w:t xml:space="preserve">BWP </w:t>
      </w:r>
      <w:r w:rsidR="0033778D" w:rsidRPr="00D361D6">
        <w:rPr>
          <w:color w:val="000000" w:themeColor="text1"/>
        </w:rPr>
        <w:t xml:space="preserve">bandwidth </w:t>
      </w:r>
      <w:r w:rsidR="00B07293" w:rsidRPr="00D361D6">
        <w:rPr>
          <w:color w:val="000000" w:themeColor="text1"/>
        </w:rPr>
        <w:t>distance</w:t>
      </w:r>
      <w:r w:rsidR="009134DE">
        <w:rPr>
          <w:color w:val="000000" w:themeColor="text1"/>
        </w:rPr>
        <w:t>,</w:t>
      </w:r>
      <w:r w:rsidR="00B07293" w:rsidRPr="00D361D6">
        <w:rPr>
          <w:color w:val="000000" w:themeColor="text1"/>
        </w:rPr>
        <w:t xml:space="preserve"> </w:t>
      </w:r>
      <w:r w:rsidR="009134DE">
        <w:rPr>
          <w:color w:val="000000" w:themeColor="text1"/>
        </w:rPr>
        <w:t>where</w:t>
      </w:r>
      <w:r w:rsidR="00B07293" w:rsidRPr="00D361D6">
        <w:rPr>
          <w:color w:val="000000" w:themeColor="text1"/>
        </w:rPr>
        <w:t xml:space="preserve"> even PRBs </w:t>
      </w:r>
      <w:r w:rsidR="009134DE">
        <w:rPr>
          <w:color w:val="000000" w:themeColor="text1"/>
        </w:rPr>
        <w:t xml:space="preserve">are mapped </w:t>
      </w:r>
      <w:r w:rsidR="00B07293" w:rsidRPr="00D361D6">
        <w:rPr>
          <w:color w:val="000000" w:themeColor="text1"/>
        </w:rPr>
        <w:t>to the lower segment and odd PRBs to the higher segment.</w:t>
      </w:r>
      <w:r w:rsidR="00C63C95" w:rsidRPr="00D361D6">
        <w:rPr>
          <w:color w:val="000000" w:themeColor="text1"/>
        </w:rPr>
        <w:t xml:space="preserve"> </w:t>
      </w:r>
      <w:r w:rsidR="005B0B7D" w:rsidRPr="00D361D6">
        <w:rPr>
          <w:color w:val="000000" w:themeColor="text1"/>
        </w:rPr>
        <w:t xml:space="preserve">   </w:t>
      </w:r>
    </w:p>
    <w:p w14:paraId="49D1CB32" w14:textId="198CA369" w:rsidR="00273891" w:rsidRDefault="00273891" w:rsidP="00872959">
      <w:pPr>
        <w:shd w:val="clear" w:color="auto" w:fill="FFFFFF"/>
        <w:spacing w:after="120"/>
        <w:jc w:val="both"/>
      </w:pPr>
      <w:r w:rsidRPr="00273891">
        <w:t xml:space="preserve">VRB-interleaving is not supported by FDRA Type-0 and </w:t>
      </w:r>
      <w:r w:rsidR="00546572">
        <w:t>is mostly</w:t>
      </w:r>
      <w:r w:rsidRPr="00273891">
        <w:t xml:space="preserve"> incompatible with SBFD by FDRA Type-1 allocation, since PRB segments likely overlap with RBs that are not available to downlink. This prohibits VRB-interleaving altogether.</w:t>
      </w:r>
    </w:p>
    <w:p w14:paraId="40E78661" w14:textId="15C83B14" w:rsidR="00CB36E7" w:rsidRPr="00CB36E7" w:rsidRDefault="00961678" w:rsidP="00872959">
      <w:pPr>
        <w:shd w:val="clear" w:color="auto" w:fill="FFFFFF"/>
        <w:spacing w:after="120"/>
        <w:jc w:val="both"/>
        <w:rPr>
          <w:color w:val="000000" w:themeColor="text1"/>
        </w:rPr>
      </w:pPr>
      <w:r w:rsidRPr="00DD66E4">
        <w:t>To bridge this gap, interleaved m</w:t>
      </w:r>
      <w:r w:rsidRPr="00DD66E4">
        <w:rPr>
          <w:color w:val="000000" w:themeColor="text1"/>
        </w:rPr>
        <w:t xml:space="preserve">apping of odd and even VRBs over physical RBGs allocated </w:t>
      </w:r>
      <w:r w:rsidR="009134DE" w:rsidRPr="00DD66E4">
        <w:rPr>
          <w:color w:val="000000" w:themeColor="text1"/>
        </w:rPr>
        <w:t>by</w:t>
      </w:r>
      <w:r w:rsidRPr="00DD66E4">
        <w:rPr>
          <w:color w:val="000000" w:themeColor="text1"/>
        </w:rPr>
        <w:t xml:space="preserve"> Type-0 FDRA</w:t>
      </w:r>
      <w:r w:rsidR="00DD66E4" w:rsidRPr="00DD66E4">
        <w:rPr>
          <w:color w:val="000000" w:themeColor="text1"/>
        </w:rPr>
        <w:t xml:space="preserve"> can be supported for SBFD</w:t>
      </w:r>
      <w:r w:rsidRPr="00DD66E4">
        <w:rPr>
          <w:color w:val="000000" w:themeColor="text1"/>
        </w:rPr>
        <w:t>,</w:t>
      </w:r>
      <w:r w:rsidRPr="00D361D6">
        <w:rPr>
          <w:i/>
          <w:iCs/>
          <w:color w:val="000000" w:themeColor="text1"/>
        </w:rPr>
        <w:t xml:space="preserve"> </w:t>
      </w:r>
      <w:r w:rsidRPr="00D361D6">
        <w:rPr>
          <w:color w:val="000000" w:themeColor="text1"/>
        </w:rPr>
        <w:t>a</w:t>
      </w:r>
      <w:r w:rsidR="00CC5B11" w:rsidRPr="00D361D6">
        <w:rPr>
          <w:color w:val="000000" w:themeColor="text1"/>
        </w:rPr>
        <w:t xml:space="preserve">s illustrated by an example in </w:t>
      </w:r>
      <w:r w:rsidR="00D361D6" w:rsidRPr="00DD66E4">
        <w:rPr>
          <w:color w:val="000000" w:themeColor="text1"/>
        </w:rPr>
        <w:t>Figure 2</w:t>
      </w:r>
      <w:r w:rsidRPr="00DD66E4">
        <w:rPr>
          <w:color w:val="000000" w:themeColor="text1"/>
        </w:rPr>
        <w:t>.</w:t>
      </w:r>
      <w:r w:rsidR="003348E0" w:rsidRPr="00D361D6">
        <w:rPr>
          <w:color w:val="000000" w:themeColor="text1"/>
        </w:rPr>
        <w:t xml:space="preserve"> </w:t>
      </w:r>
      <w:r w:rsidRPr="00D361D6">
        <w:rPr>
          <w:color w:val="000000" w:themeColor="text1"/>
        </w:rPr>
        <w:t>Such</w:t>
      </w:r>
      <w:r w:rsidR="0028138D" w:rsidRPr="00D361D6">
        <w:rPr>
          <w:color w:val="000000" w:themeColor="text1"/>
        </w:rPr>
        <w:t xml:space="preserve"> </w:t>
      </w:r>
      <w:r w:rsidR="0028138D" w:rsidRPr="00CB36E7">
        <w:rPr>
          <w:color w:val="000000" w:themeColor="text1"/>
        </w:rPr>
        <w:t>interleaved VRB mapping would not alter the</w:t>
      </w:r>
      <w:r w:rsidR="00C5780B" w:rsidRPr="00CB36E7">
        <w:rPr>
          <w:color w:val="000000" w:themeColor="text1"/>
        </w:rPr>
        <w:t xml:space="preserve"> </w:t>
      </w:r>
      <w:r w:rsidR="009134DE">
        <w:rPr>
          <w:color w:val="000000" w:themeColor="text1"/>
        </w:rPr>
        <w:t>set of allocated PRBs</w:t>
      </w:r>
      <w:r w:rsidR="0028138D" w:rsidRPr="00CB36E7">
        <w:rPr>
          <w:color w:val="000000" w:themeColor="text1"/>
        </w:rPr>
        <w:t xml:space="preserve">, thus it would not </w:t>
      </w:r>
      <w:r w:rsidR="005E2E4A" w:rsidRPr="00CB36E7">
        <w:rPr>
          <w:color w:val="000000" w:themeColor="text1"/>
        </w:rPr>
        <w:t>influence</w:t>
      </w:r>
      <w:r w:rsidR="003348E0" w:rsidRPr="00CB36E7">
        <w:rPr>
          <w:color w:val="000000" w:themeColor="text1"/>
        </w:rPr>
        <w:t xml:space="preserve"> </w:t>
      </w:r>
      <w:r w:rsidR="00CC5B11" w:rsidRPr="00CB36E7">
        <w:rPr>
          <w:color w:val="000000" w:themeColor="text1"/>
        </w:rPr>
        <w:t xml:space="preserve">coexistence with </w:t>
      </w:r>
      <w:r w:rsidR="00CC7E1A" w:rsidRPr="00CB36E7">
        <w:rPr>
          <w:color w:val="000000" w:themeColor="text1"/>
        </w:rPr>
        <w:t>legacy</w:t>
      </w:r>
      <w:r w:rsidR="00CC5B11" w:rsidRPr="00CB36E7">
        <w:rPr>
          <w:color w:val="000000" w:themeColor="text1"/>
        </w:rPr>
        <w:t xml:space="preserve"> UEs</w:t>
      </w:r>
      <w:r w:rsidR="00C5780B" w:rsidRPr="00CB36E7">
        <w:rPr>
          <w:color w:val="000000" w:themeColor="text1"/>
        </w:rPr>
        <w:t>.</w:t>
      </w:r>
      <w:r w:rsidR="00CC5B11" w:rsidRPr="00CB36E7">
        <w:rPr>
          <w:color w:val="000000" w:themeColor="text1"/>
        </w:rPr>
        <w:t xml:space="preserve"> </w:t>
      </w:r>
    </w:p>
    <w:p w14:paraId="130A330A" w14:textId="719FD7C0" w:rsidR="00E50942" w:rsidRPr="00CB36E7" w:rsidRDefault="00CB36E7" w:rsidP="00872959">
      <w:pPr>
        <w:shd w:val="clear" w:color="auto" w:fill="FFFFFF"/>
        <w:spacing w:after="120"/>
        <w:jc w:val="both"/>
        <w:rPr>
          <w:color w:val="000000" w:themeColor="text1"/>
        </w:rPr>
      </w:pPr>
      <w:r w:rsidRPr="00CB36E7">
        <w:rPr>
          <w:color w:val="000000" w:themeColor="text1"/>
        </w:rPr>
        <w:t>In SBFD slots/symbols, Type-1 FDRA needs to be restricted (with rare exceptions) to non-interleaved VRB allocation confined within a single DL subband.</w:t>
      </w:r>
      <w:r w:rsidR="00CC5B11" w:rsidRPr="00CB36E7">
        <w:rPr>
          <w:color w:val="000000" w:themeColor="text1"/>
        </w:rPr>
        <w:t xml:space="preserve"> </w:t>
      </w:r>
      <w:r w:rsidR="005B0B7D" w:rsidRPr="00CB36E7">
        <w:rPr>
          <w:color w:val="000000" w:themeColor="text1"/>
        </w:rPr>
        <w:t xml:space="preserve">   </w:t>
      </w:r>
      <w:r w:rsidR="00FC2232" w:rsidRPr="00CB36E7">
        <w:rPr>
          <w:color w:val="000000" w:themeColor="text1"/>
        </w:rPr>
        <w:t xml:space="preserve">   </w:t>
      </w:r>
      <w:r w:rsidR="00930D91" w:rsidRPr="00CB36E7">
        <w:rPr>
          <w:color w:val="000000" w:themeColor="text1"/>
        </w:rPr>
        <w:t xml:space="preserve">  </w:t>
      </w:r>
      <w:r w:rsidR="00A96097" w:rsidRPr="00CB36E7">
        <w:rPr>
          <w:color w:val="000000" w:themeColor="text1"/>
        </w:rPr>
        <w:t xml:space="preserve"> </w:t>
      </w:r>
    </w:p>
    <w:p w14:paraId="4A6D5CB9" w14:textId="10831838" w:rsidR="00B96B80" w:rsidRPr="00872959" w:rsidRDefault="007D7ECD" w:rsidP="00872959">
      <w:pPr>
        <w:shd w:val="clear" w:color="auto" w:fill="FFFFFF"/>
        <w:spacing w:after="120"/>
        <w:jc w:val="both"/>
        <w:rPr>
          <w:b/>
          <w:bCs/>
          <w:i/>
          <w:iCs/>
        </w:rPr>
      </w:pPr>
      <w:bookmarkStart w:id="13" w:name="_Ref111210725"/>
      <w:r w:rsidRPr="00872959">
        <w:rPr>
          <w:b/>
          <w:bCs/>
          <w:i/>
          <w:iCs/>
        </w:rPr>
        <w:t>Observation</w:t>
      </w:r>
      <w:r w:rsidR="00CA7488" w:rsidRPr="00872959">
        <w:rPr>
          <w:b/>
          <w:bCs/>
          <w:i/>
          <w:iCs/>
        </w:rPr>
        <w:t xml:space="preserve"> </w:t>
      </w:r>
      <w:r w:rsidR="00CA7488" w:rsidRPr="00872959">
        <w:rPr>
          <w:b/>
          <w:bCs/>
          <w:i/>
          <w:iCs/>
        </w:rPr>
        <w:fldChar w:fldCharType="begin"/>
      </w:r>
      <w:r w:rsidR="00CA7488" w:rsidRPr="00872959">
        <w:rPr>
          <w:b/>
          <w:bCs/>
          <w:i/>
          <w:iCs/>
        </w:rPr>
        <w:instrText xml:space="preserve"> SEQ Observation \* ARABIC </w:instrText>
      </w:r>
      <w:r w:rsidR="00CA7488" w:rsidRPr="00872959">
        <w:rPr>
          <w:b/>
          <w:bCs/>
          <w:i/>
          <w:iCs/>
        </w:rPr>
        <w:fldChar w:fldCharType="separate"/>
      </w:r>
      <w:r w:rsidR="00D17601">
        <w:rPr>
          <w:b/>
          <w:bCs/>
          <w:i/>
          <w:iCs/>
          <w:noProof/>
        </w:rPr>
        <w:t>4</w:t>
      </w:r>
      <w:r w:rsidR="00CA7488" w:rsidRPr="00872959">
        <w:rPr>
          <w:b/>
          <w:bCs/>
          <w:i/>
          <w:iCs/>
        </w:rPr>
        <w:fldChar w:fldCharType="end"/>
      </w:r>
      <w:r w:rsidRPr="00872959">
        <w:rPr>
          <w:b/>
          <w:bCs/>
          <w:i/>
          <w:iCs/>
        </w:rPr>
        <w:t xml:space="preserve">: </w:t>
      </w:r>
      <w:r w:rsidR="009F6BCE" w:rsidRPr="00872959">
        <w:rPr>
          <w:b/>
          <w:bCs/>
          <w:i/>
          <w:iCs/>
        </w:rPr>
        <w:t xml:space="preserve">Enhancements to </w:t>
      </w:r>
      <w:r w:rsidR="00B96B80" w:rsidRPr="00872959">
        <w:rPr>
          <w:b/>
          <w:bCs/>
          <w:i/>
          <w:iCs/>
        </w:rPr>
        <w:t xml:space="preserve">FDRA </w:t>
      </w:r>
      <w:r w:rsidRPr="00872959">
        <w:rPr>
          <w:b/>
          <w:bCs/>
          <w:i/>
          <w:iCs/>
        </w:rPr>
        <w:t xml:space="preserve">shall consider </w:t>
      </w:r>
      <w:r w:rsidR="0031506C" w:rsidRPr="00872959">
        <w:rPr>
          <w:b/>
          <w:bCs/>
          <w:i/>
          <w:iCs/>
        </w:rPr>
        <w:t>co-exi</w:t>
      </w:r>
      <w:r w:rsidR="009F6BCE" w:rsidRPr="00872959">
        <w:rPr>
          <w:b/>
          <w:bCs/>
          <w:i/>
          <w:iCs/>
        </w:rPr>
        <w:t>s</w:t>
      </w:r>
      <w:r w:rsidR="0031506C" w:rsidRPr="00872959">
        <w:rPr>
          <w:b/>
          <w:bCs/>
          <w:i/>
          <w:iCs/>
        </w:rPr>
        <w:t xml:space="preserve">tence with </w:t>
      </w:r>
      <w:r w:rsidRPr="00872959">
        <w:rPr>
          <w:b/>
          <w:bCs/>
          <w:i/>
          <w:iCs/>
        </w:rPr>
        <w:t>legacy</w:t>
      </w:r>
      <w:r w:rsidR="0031506C" w:rsidRPr="00872959">
        <w:rPr>
          <w:b/>
          <w:bCs/>
          <w:i/>
          <w:iCs/>
        </w:rPr>
        <w:t xml:space="preserve"> UE</w:t>
      </w:r>
      <w:r w:rsidRPr="00872959">
        <w:rPr>
          <w:b/>
          <w:bCs/>
          <w:i/>
          <w:iCs/>
        </w:rPr>
        <w:t>s</w:t>
      </w:r>
      <w:r w:rsidR="009F6BCE" w:rsidRPr="00872959">
        <w:rPr>
          <w:b/>
          <w:bCs/>
          <w:i/>
          <w:iCs/>
        </w:rPr>
        <w:t>.</w:t>
      </w:r>
      <w:bookmarkEnd w:id="13"/>
    </w:p>
    <w:p w14:paraId="2274C81A" w14:textId="034998DF" w:rsidR="00530949" w:rsidRPr="00872959" w:rsidRDefault="00530949" w:rsidP="00872959">
      <w:pPr>
        <w:shd w:val="clear" w:color="auto" w:fill="FFFFFF"/>
        <w:spacing w:after="120"/>
        <w:jc w:val="both"/>
        <w:rPr>
          <w:b/>
          <w:bCs/>
          <w:i/>
          <w:iCs/>
        </w:rPr>
      </w:pPr>
      <w:bookmarkStart w:id="14" w:name="_Ref111210727"/>
      <w:r w:rsidRPr="00872959">
        <w:rPr>
          <w:b/>
          <w:bCs/>
          <w:i/>
          <w:iCs/>
        </w:rPr>
        <w:t>Observation</w:t>
      </w:r>
      <w:r w:rsidR="00CA7488" w:rsidRPr="00872959">
        <w:rPr>
          <w:b/>
          <w:bCs/>
          <w:i/>
          <w:iCs/>
        </w:rPr>
        <w:t xml:space="preserve"> </w:t>
      </w:r>
      <w:r w:rsidR="00CA7488" w:rsidRPr="00872959">
        <w:rPr>
          <w:b/>
          <w:bCs/>
          <w:i/>
          <w:iCs/>
        </w:rPr>
        <w:fldChar w:fldCharType="begin"/>
      </w:r>
      <w:r w:rsidR="00CA7488" w:rsidRPr="00872959">
        <w:rPr>
          <w:b/>
          <w:bCs/>
          <w:i/>
          <w:iCs/>
        </w:rPr>
        <w:instrText xml:space="preserve"> SEQ Observation \* ARABIC </w:instrText>
      </w:r>
      <w:r w:rsidR="00CA7488" w:rsidRPr="00872959">
        <w:rPr>
          <w:b/>
          <w:bCs/>
          <w:i/>
          <w:iCs/>
        </w:rPr>
        <w:fldChar w:fldCharType="separate"/>
      </w:r>
      <w:r w:rsidR="00D17601">
        <w:rPr>
          <w:b/>
          <w:bCs/>
          <w:i/>
          <w:iCs/>
          <w:noProof/>
        </w:rPr>
        <w:t>5</w:t>
      </w:r>
      <w:r w:rsidR="00CA7488" w:rsidRPr="00872959">
        <w:rPr>
          <w:b/>
          <w:bCs/>
          <w:i/>
          <w:iCs/>
        </w:rPr>
        <w:fldChar w:fldCharType="end"/>
      </w:r>
      <w:r w:rsidRPr="00872959">
        <w:rPr>
          <w:b/>
          <w:bCs/>
          <w:i/>
          <w:iCs/>
        </w:rPr>
        <w:t xml:space="preserve">: When using FDRA Type-0 for PDSCH </w:t>
      </w:r>
      <w:r w:rsidR="00C539E8" w:rsidRPr="00872959">
        <w:rPr>
          <w:b/>
          <w:bCs/>
          <w:i/>
          <w:iCs/>
        </w:rPr>
        <w:t>scheduling</w:t>
      </w:r>
      <w:r w:rsidRPr="00872959">
        <w:rPr>
          <w:b/>
          <w:bCs/>
          <w:i/>
          <w:iCs/>
        </w:rPr>
        <w:t xml:space="preserve">, </w:t>
      </w:r>
      <w:r w:rsidR="00C539E8" w:rsidRPr="00872959">
        <w:rPr>
          <w:b/>
          <w:bCs/>
          <w:i/>
          <w:iCs/>
        </w:rPr>
        <w:t xml:space="preserve">certain </w:t>
      </w:r>
      <w:r w:rsidRPr="00872959">
        <w:rPr>
          <w:b/>
          <w:bCs/>
          <w:i/>
          <w:iCs/>
        </w:rPr>
        <w:t>RBG(s) may be unavailable due to partial overlap with UL-subband (and/or any guard band) leading to resource fragmentation.</w:t>
      </w:r>
      <w:bookmarkEnd w:id="14"/>
      <w:r w:rsidRPr="00872959">
        <w:rPr>
          <w:b/>
          <w:bCs/>
          <w:i/>
          <w:iCs/>
        </w:rPr>
        <w:t xml:space="preserve"> </w:t>
      </w:r>
    </w:p>
    <w:p w14:paraId="752D5347" w14:textId="011A5C53" w:rsidR="00530949" w:rsidRPr="00872959" w:rsidRDefault="00530949" w:rsidP="00872959">
      <w:pPr>
        <w:shd w:val="clear" w:color="auto" w:fill="FFFFFF"/>
        <w:spacing w:after="120"/>
        <w:jc w:val="both"/>
        <w:rPr>
          <w:b/>
          <w:bCs/>
          <w:i/>
          <w:iCs/>
        </w:rPr>
      </w:pPr>
      <w:bookmarkStart w:id="15" w:name="_Ref111210883"/>
      <w:r w:rsidRPr="00872959">
        <w:rPr>
          <w:b/>
          <w:bCs/>
          <w:i/>
          <w:iCs/>
        </w:rPr>
        <w:t>Proposal</w:t>
      </w:r>
      <w:r w:rsidR="00CA7488" w:rsidRPr="00872959">
        <w:rPr>
          <w:b/>
          <w:bCs/>
          <w:i/>
          <w:iCs/>
        </w:rPr>
        <w:t xml:space="preserve"> </w:t>
      </w:r>
      <w:r w:rsidR="00CA7488" w:rsidRPr="00872959">
        <w:rPr>
          <w:b/>
          <w:bCs/>
          <w:i/>
          <w:iCs/>
        </w:rPr>
        <w:fldChar w:fldCharType="begin"/>
      </w:r>
      <w:r w:rsidR="00CA7488" w:rsidRPr="00872959">
        <w:rPr>
          <w:b/>
          <w:bCs/>
          <w:i/>
          <w:iCs/>
        </w:rPr>
        <w:instrText xml:space="preserve"> SEQ Proposal \* ARABIC </w:instrText>
      </w:r>
      <w:r w:rsidR="00CA7488" w:rsidRPr="00872959">
        <w:rPr>
          <w:b/>
          <w:bCs/>
          <w:i/>
          <w:iCs/>
        </w:rPr>
        <w:fldChar w:fldCharType="separate"/>
      </w:r>
      <w:r w:rsidR="00D17601">
        <w:rPr>
          <w:b/>
          <w:bCs/>
          <w:i/>
          <w:iCs/>
          <w:noProof/>
        </w:rPr>
        <w:t>3</w:t>
      </w:r>
      <w:r w:rsidR="00CA7488" w:rsidRPr="00872959">
        <w:rPr>
          <w:b/>
          <w:bCs/>
          <w:i/>
          <w:iCs/>
        </w:rPr>
        <w:fldChar w:fldCharType="end"/>
      </w:r>
      <w:r w:rsidRPr="00872959">
        <w:rPr>
          <w:b/>
          <w:bCs/>
          <w:i/>
          <w:iCs/>
        </w:rPr>
        <w:t xml:space="preserve">: </w:t>
      </w:r>
      <w:r w:rsidR="00664234" w:rsidRPr="00872959">
        <w:rPr>
          <w:b/>
          <w:bCs/>
          <w:i/>
          <w:iCs/>
        </w:rPr>
        <w:t xml:space="preserve">Based on </w:t>
      </w:r>
      <w:r w:rsidR="00D00CE5" w:rsidRPr="00872959">
        <w:rPr>
          <w:b/>
          <w:bCs/>
          <w:i/>
          <w:iCs/>
        </w:rPr>
        <w:t xml:space="preserve">the </w:t>
      </w:r>
      <w:r w:rsidR="00664234" w:rsidRPr="00872959">
        <w:rPr>
          <w:b/>
          <w:bCs/>
          <w:i/>
          <w:iCs/>
        </w:rPr>
        <w:t xml:space="preserve">knowledge of </w:t>
      </w:r>
      <w:r w:rsidR="006E26DE" w:rsidRPr="00872959">
        <w:rPr>
          <w:b/>
          <w:bCs/>
          <w:i/>
          <w:iCs/>
        </w:rPr>
        <w:t xml:space="preserve">partitioned slots/symbols and the </w:t>
      </w:r>
      <w:r w:rsidR="00664234" w:rsidRPr="00872959">
        <w:rPr>
          <w:b/>
          <w:bCs/>
          <w:i/>
          <w:iCs/>
        </w:rPr>
        <w:t>boundary between DL and UL subbands, support Type-0 FDRA comprising fractional RBGs at such boundary</w:t>
      </w:r>
      <w:r w:rsidRPr="00872959">
        <w:rPr>
          <w:b/>
          <w:bCs/>
          <w:i/>
          <w:iCs/>
        </w:rPr>
        <w:t>.</w:t>
      </w:r>
      <w:bookmarkEnd w:id="15"/>
    </w:p>
    <w:p w14:paraId="66E0AFB8" w14:textId="6E05B057" w:rsidR="00530949" w:rsidRPr="00872959" w:rsidRDefault="00530949" w:rsidP="00872959">
      <w:pPr>
        <w:shd w:val="clear" w:color="auto" w:fill="FFFFFF"/>
        <w:spacing w:after="120"/>
        <w:jc w:val="both"/>
        <w:rPr>
          <w:b/>
          <w:bCs/>
          <w:i/>
          <w:iCs/>
        </w:rPr>
      </w:pPr>
      <w:bookmarkStart w:id="16" w:name="_Ref111210729"/>
      <w:r w:rsidRPr="00872959">
        <w:rPr>
          <w:b/>
          <w:bCs/>
          <w:i/>
          <w:iCs/>
        </w:rPr>
        <w:t>Observation</w:t>
      </w:r>
      <w:r w:rsidR="00CA7488" w:rsidRPr="00872959">
        <w:rPr>
          <w:b/>
          <w:bCs/>
          <w:i/>
          <w:iCs/>
        </w:rPr>
        <w:t xml:space="preserve"> </w:t>
      </w:r>
      <w:r w:rsidR="00CA7488" w:rsidRPr="00872959">
        <w:rPr>
          <w:b/>
          <w:bCs/>
          <w:i/>
          <w:iCs/>
        </w:rPr>
        <w:fldChar w:fldCharType="begin"/>
      </w:r>
      <w:r w:rsidR="00CA7488" w:rsidRPr="00872959">
        <w:rPr>
          <w:b/>
          <w:bCs/>
          <w:i/>
          <w:iCs/>
        </w:rPr>
        <w:instrText xml:space="preserve"> SEQ Observation \* ARABIC </w:instrText>
      </w:r>
      <w:r w:rsidR="00CA7488" w:rsidRPr="00872959">
        <w:rPr>
          <w:b/>
          <w:bCs/>
          <w:i/>
          <w:iCs/>
        </w:rPr>
        <w:fldChar w:fldCharType="separate"/>
      </w:r>
      <w:r w:rsidR="00D17601">
        <w:rPr>
          <w:b/>
          <w:bCs/>
          <w:i/>
          <w:iCs/>
          <w:noProof/>
        </w:rPr>
        <w:t>6</w:t>
      </w:r>
      <w:r w:rsidR="00CA7488" w:rsidRPr="00872959">
        <w:rPr>
          <w:b/>
          <w:bCs/>
          <w:i/>
          <w:iCs/>
        </w:rPr>
        <w:fldChar w:fldCharType="end"/>
      </w:r>
      <w:r w:rsidRPr="00872959">
        <w:rPr>
          <w:b/>
          <w:bCs/>
          <w:i/>
          <w:iCs/>
        </w:rPr>
        <w:t>: VRB-interleaving is not supported by FDRA Type-</w:t>
      </w:r>
      <w:r w:rsidR="00AD4E00" w:rsidRPr="00872959">
        <w:rPr>
          <w:b/>
          <w:bCs/>
          <w:i/>
          <w:iCs/>
        </w:rPr>
        <w:t>0 and</w:t>
      </w:r>
      <w:r w:rsidRPr="00872959">
        <w:rPr>
          <w:b/>
          <w:bCs/>
          <w:i/>
          <w:iCs/>
        </w:rPr>
        <w:t xml:space="preserve"> </w:t>
      </w:r>
      <w:r w:rsidR="00546572" w:rsidRPr="00872959">
        <w:rPr>
          <w:b/>
          <w:bCs/>
          <w:i/>
          <w:iCs/>
        </w:rPr>
        <w:t>is mostly</w:t>
      </w:r>
      <w:r w:rsidRPr="00872959">
        <w:rPr>
          <w:b/>
          <w:bCs/>
          <w:i/>
          <w:iCs/>
        </w:rPr>
        <w:t xml:space="preserve"> </w:t>
      </w:r>
      <w:r w:rsidR="00AD4E00" w:rsidRPr="00872959">
        <w:rPr>
          <w:b/>
          <w:bCs/>
          <w:i/>
          <w:iCs/>
        </w:rPr>
        <w:t>incompatible</w:t>
      </w:r>
      <w:r w:rsidRPr="00872959">
        <w:rPr>
          <w:b/>
          <w:bCs/>
          <w:i/>
          <w:iCs/>
        </w:rPr>
        <w:t xml:space="preserve"> </w:t>
      </w:r>
      <w:r w:rsidR="00AD4E00" w:rsidRPr="00872959">
        <w:rPr>
          <w:b/>
          <w:bCs/>
          <w:i/>
          <w:iCs/>
        </w:rPr>
        <w:t>with SBFD by</w:t>
      </w:r>
      <w:r w:rsidRPr="00872959">
        <w:rPr>
          <w:b/>
          <w:bCs/>
          <w:i/>
          <w:iCs/>
        </w:rPr>
        <w:t xml:space="preserve"> FDRA Type-1 allocation, </w:t>
      </w:r>
      <w:r w:rsidR="0007531D" w:rsidRPr="00872959">
        <w:rPr>
          <w:b/>
          <w:bCs/>
          <w:i/>
          <w:iCs/>
        </w:rPr>
        <w:t>since</w:t>
      </w:r>
      <w:r w:rsidRPr="00872959">
        <w:rPr>
          <w:b/>
          <w:bCs/>
          <w:i/>
          <w:iCs/>
        </w:rPr>
        <w:t xml:space="preserve"> PRB segments </w:t>
      </w:r>
      <w:r w:rsidR="00AD4E00" w:rsidRPr="00872959">
        <w:rPr>
          <w:b/>
          <w:bCs/>
          <w:i/>
          <w:iCs/>
        </w:rPr>
        <w:t>likely</w:t>
      </w:r>
      <w:r w:rsidRPr="00872959">
        <w:rPr>
          <w:b/>
          <w:bCs/>
          <w:i/>
          <w:iCs/>
        </w:rPr>
        <w:t xml:space="preserve"> overlap with RBs that are not available to downlink.</w:t>
      </w:r>
      <w:r w:rsidR="0007531D" w:rsidRPr="00872959">
        <w:rPr>
          <w:b/>
          <w:bCs/>
          <w:i/>
          <w:iCs/>
        </w:rPr>
        <w:t xml:space="preserve"> This prohibits VRB-interleaving altogether.</w:t>
      </w:r>
      <w:bookmarkEnd w:id="16"/>
    </w:p>
    <w:p w14:paraId="50EB1B6E" w14:textId="4A33A1F6" w:rsidR="00530949" w:rsidRPr="00872959" w:rsidRDefault="00530949" w:rsidP="00872959">
      <w:pPr>
        <w:shd w:val="clear" w:color="auto" w:fill="FFFFFF"/>
        <w:spacing w:after="120"/>
        <w:jc w:val="both"/>
        <w:rPr>
          <w:b/>
          <w:bCs/>
          <w:i/>
          <w:iCs/>
        </w:rPr>
      </w:pPr>
      <w:bookmarkStart w:id="17" w:name="_Ref111210886"/>
      <w:r w:rsidRPr="00872959">
        <w:rPr>
          <w:b/>
          <w:bCs/>
          <w:i/>
          <w:iCs/>
        </w:rPr>
        <w:t>Proposal</w:t>
      </w:r>
      <w:r w:rsidR="00CA7488" w:rsidRPr="00872959">
        <w:rPr>
          <w:b/>
          <w:bCs/>
          <w:i/>
          <w:iCs/>
        </w:rPr>
        <w:t xml:space="preserve"> </w:t>
      </w:r>
      <w:r w:rsidR="00CA7488" w:rsidRPr="00872959">
        <w:rPr>
          <w:b/>
          <w:bCs/>
          <w:i/>
          <w:iCs/>
        </w:rPr>
        <w:fldChar w:fldCharType="begin"/>
      </w:r>
      <w:r w:rsidR="00CA7488" w:rsidRPr="00872959">
        <w:rPr>
          <w:b/>
          <w:bCs/>
          <w:i/>
          <w:iCs/>
        </w:rPr>
        <w:instrText xml:space="preserve"> SEQ Proposal \* ARABIC </w:instrText>
      </w:r>
      <w:r w:rsidR="00CA7488" w:rsidRPr="00872959">
        <w:rPr>
          <w:b/>
          <w:bCs/>
          <w:i/>
          <w:iCs/>
        </w:rPr>
        <w:fldChar w:fldCharType="separate"/>
      </w:r>
      <w:r w:rsidR="00D17601">
        <w:rPr>
          <w:b/>
          <w:bCs/>
          <w:i/>
          <w:iCs/>
          <w:noProof/>
        </w:rPr>
        <w:t>4</w:t>
      </w:r>
      <w:r w:rsidR="00CA7488" w:rsidRPr="00872959">
        <w:rPr>
          <w:b/>
          <w:bCs/>
          <w:i/>
          <w:iCs/>
        </w:rPr>
        <w:fldChar w:fldCharType="end"/>
      </w:r>
      <w:r w:rsidRPr="00872959">
        <w:rPr>
          <w:b/>
          <w:bCs/>
          <w:i/>
          <w:iCs/>
        </w:rPr>
        <w:t>: Support</w:t>
      </w:r>
      <w:r w:rsidR="0007531D" w:rsidRPr="00872959">
        <w:rPr>
          <w:b/>
          <w:bCs/>
          <w:i/>
          <w:iCs/>
        </w:rPr>
        <w:t xml:space="preserve"> </w:t>
      </w:r>
      <w:bookmarkStart w:id="18" w:name="_Hlk110501961"/>
      <w:r w:rsidRPr="00872959">
        <w:rPr>
          <w:b/>
          <w:bCs/>
          <w:i/>
          <w:iCs/>
        </w:rPr>
        <w:t>interleav</w:t>
      </w:r>
      <w:r w:rsidR="0007531D" w:rsidRPr="00872959">
        <w:rPr>
          <w:b/>
          <w:bCs/>
          <w:i/>
          <w:iCs/>
        </w:rPr>
        <w:t>ed mapping of odd and even VRBs</w:t>
      </w:r>
      <w:r w:rsidRPr="00872959">
        <w:rPr>
          <w:b/>
          <w:bCs/>
          <w:i/>
          <w:iCs/>
        </w:rPr>
        <w:t xml:space="preserve"> over physical RBGs </w:t>
      </w:r>
      <w:r w:rsidR="0007531D" w:rsidRPr="00872959">
        <w:rPr>
          <w:b/>
          <w:bCs/>
          <w:i/>
          <w:iCs/>
        </w:rPr>
        <w:t>allocated</w:t>
      </w:r>
      <w:r w:rsidRPr="00872959">
        <w:rPr>
          <w:b/>
          <w:bCs/>
          <w:i/>
          <w:iCs/>
        </w:rPr>
        <w:t xml:space="preserve"> using Type-0 FDRA.</w:t>
      </w:r>
      <w:bookmarkEnd w:id="17"/>
      <w:bookmarkEnd w:id="18"/>
    </w:p>
    <w:p w14:paraId="523E1107" w14:textId="0586C5D4" w:rsidR="002B609D" w:rsidRPr="00297284" w:rsidRDefault="00A2391E" w:rsidP="00872959">
      <w:pPr>
        <w:spacing w:after="0"/>
        <w:jc w:val="center"/>
      </w:pPr>
      <w:r w:rsidRPr="00A2391E">
        <w:rPr>
          <w:noProof/>
        </w:rPr>
        <w:drawing>
          <wp:inline distT="0" distB="0" distL="0" distR="0" wp14:anchorId="1CC1131F" wp14:editId="095CE097">
            <wp:extent cx="3204000" cy="4014000"/>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4000" cy="4014000"/>
                    </a:xfrm>
                    <a:prstGeom prst="rect">
                      <a:avLst/>
                    </a:prstGeom>
                    <a:noFill/>
                    <a:ln>
                      <a:noFill/>
                    </a:ln>
                  </pic:spPr>
                </pic:pic>
              </a:graphicData>
            </a:graphic>
          </wp:inline>
        </w:drawing>
      </w:r>
    </w:p>
    <w:p w14:paraId="6EEAC138" w14:textId="5FBB9298" w:rsidR="00A2391E" w:rsidRDefault="00A2391E" w:rsidP="00A2391E">
      <w:pPr>
        <w:jc w:val="center"/>
      </w:pPr>
      <w:bookmarkStart w:id="19" w:name="_Ref110502979"/>
      <w:bookmarkStart w:id="20" w:name="_Hlk110503806"/>
      <w:r>
        <w:t xml:space="preserve">Figure </w:t>
      </w:r>
      <w:r w:rsidR="0023288C">
        <w:fldChar w:fldCharType="begin"/>
      </w:r>
      <w:r w:rsidR="0023288C">
        <w:instrText xml:space="preserve"> SEQ Figure \* ARABIC </w:instrText>
      </w:r>
      <w:r w:rsidR="0023288C">
        <w:fldChar w:fldCharType="separate"/>
      </w:r>
      <w:r w:rsidR="00D17601">
        <w:rPr>
          <w:noProof/>
        </w:rPr>
        <w:t>2</w:t>
      </w:r>
      <w:r w:rsidR="0023288C">
        <w:rPr>
          <w:noProof/>
        </w:rPr>
        <w:fldChar w:fldCharType="end"/>
      </w:r>
      <w:bookmarkEnd w:id="19"/>
      <w:r w:rsidR="00742295">
        <w:t>:</w:t>
      </w:r>
      <w:r>
        <w:t xml:space="preserve"> </w:t>
      </w:r>
      <w:bookmarkEnd w:id="20"/>
      <w:r>
        <w:t>PDSCH FDRA Type-0 with fractional RBG allocation at DL subband edges and VRB-interleaving</w:t>
      </w:r>
      <w:r w:rsidR="00F24912">
        <w:t>.</w:t>
      </w:r>
    </w:p>
    <w:p w14:paraId="197851DE" w14:textId="64E45D72" w:rsidR="00BE50AE" w:rsidRPr="00820123" w:rsidRDefault="00BE50AE" w:rsidP="00BE50AE">
      <w:pPr>
        <w:pStyle w:val="Heading3"/>
      </w:pPr>
      <w:r w:rsidRPr="00820123">
        <w:t xml:space="preserve">Uplink </w:t>
      </w:r>
      <w:r w:rsidR="0033228D">
        <w:t xml:space="preserve">resource </w:t>
      </w:r>
      <w:r w:rsidRPr="00820123">
        <w:t xml:space="preserve">allocation </w:t>
      </w:r>
      <w:r w:rsidR="0033228D">
        <w:t xml:space="preserve">in </w:t>
      </w:r>
      <w:r w:rsidRPr="00820123">
        <w:t>SBFD</w:t>
      </w:r>
    </w:p>
    <w:p w14:paraId="499D9F4D" w14:textId="1FBCD236" w:rsidR="00E04322" w:rsidRDefault="00E04322" w:rsidP="00E04322">
      <w:pPr>
        <w:pStyle w:val="Heading4"/>
      </w:pPr>
      <w:r>
        <w:t>Resource allocation for CG-PUSCH</w:t>
      </w:r>
    </w:p>
    <w:p w14:paraId="58B9BA34" w14:textId="0B5BB918" w:rsidR="00E04322" w:rsidRDefault="00E04322" w:rsidP="00E04322">
      <w:pPr>
        <w:overflowPunct/>
        <w:autoSpaceDE/>
        <w:adjustRightInd/>
        <w:jc w:val="both"/>
        <w:textAlignment w:val="center"/>
        <w:rPr>
          <w:rFonts w:eastAsia="Times New Roman"/>
          <w:lang w:eastAsia="da-DK"/>
        </w:rPr>
      </w:pPr>
      <w:r>
        <w:rPr>
          <w:rFonts w:eastAsia="Times New Roman"/>
          <w:lang w:eastAsia="da-DK"/>
        </w:rPr>
        <w:t xml:space="preserve">For Type-1 </w:t>
      </w:r>
      <w:r w:rsidR="00F24912">
        <w:rPr>
          <w:rFonts w:eastAsia="Times New Roman"/>
          <w:lang w:eastAsia="da-DK"/>
        </w:rPr>
        <w:t>CG-PUSCH</w:t>
      </w:r>
      <w:r>
        <w:rPr>
          <w:rFonts w:eastAsia="Times New Roman"/>
          <w:lang w:eastAsia="da-DK"/>
        </w:rPr>
        <w:t xml:space="preserve"> transmission, the FDRA is fully configured by RRC. On the other hand, the FDRA for Type-2 </w:t>
      </w:r>
      <w:r w:rsidR="00F24912">
        <w:rPr>
          <w:rFonts w:eastAsia="Times New Roman"/>
          <w:lang w:eastAsia="da-DK"/>
        </w:rPr>
        <w:t>CG-PUSCH</w:t>
      </w:r>
      <w:r>
        <w:rPr>
          <w:rFonts w:eastAsia="Times New Roman"/>
          <w:lang w:eastAsia="da-DK"/>
        </w:rPr>
        <w:t xml:space="preserve"> transmission is partially configured by RRC and can be activated/deactivated through DCI. In both cases, a single FDRA is configured for all slots within the defined transmission periodicity. However, for SBFD the </w:t>
      </w:r>
      <w:r w:rsidR="004F6754">
        <w:rPr>
          <w:rFonts w:eastAsia="Times New Roman"/>
          <w:lang w:eastAsia="da-DK"/>
        </w:rPr>
        <w:t>CG-PUSCH</w:t>
      </w:r>
      <w:r>
        <w:rPr>
          <w:rFonts w:eastAsia="Times New Roman"/>
          <w:lang w:eastAsia="da-DK"/>
        </w:rPr>
        <w:t xml:space="preserve"> periodicity may cover UL-only and SBFD partitioned slots/symbols. As a result, periodic transmission from UL-only </w:t>
      </w:r>
      <w:r>
        <w:rPr>
          <w:rFonts w:eastAsia="Times New Roman"/>
          <w:lang w:eastAsia="da-DK"/>
        </w:rPr>
        <w:lastRenderedPageBreak/>
        <w:t>slots may overlap with the DL subbands in SBFD partitioned slot as shown in</w:t>
      </w:r>
      <w:r w:rsidR="00482927">
        <w:rPr>
          <w:rFonts w:eastAsia="Times New Roman"/>
          <w:lang w:eastAsia="da-DK"/>
        </w:rPr>
        <w:t xml:space="preserve"> </w:t>
      </w:r>
      <w:r w:rsidR="00482927">
        <w:rPr>
          <w:rFonts w:eastAsia="Times New Roman"/>
          <w:lang w:eastAsia="da-DK"/>
        </w:rPr>
        <w:fldChar w:fldCharType="begin"/>
      </w:r>
      <w:r w:rsidR="00482927">
        <w:rPr>
          <w:rFonts w:eastAsia="Times New Roman"/>
          <w:lang w:eastAsia="da-DK"/>
        </w:rPr>
        <w:instrText xml:space="preserve"> REF _Ref111206064 \h </w:instrText>
      </w:r>
      <w:r w:rsidR="00482927">
        <w:rPr>
          <w:rFonts w:eastAsia="Times New Roman"/>
          <w:lang w:eastAsia="da-DK"/>
        </w:rPr>
      </w:r>
      <w:r w:rsidR="00482927">
        <w:rPr>
          <w:rFonts w:eastAsia="Times New Roman"/>
          <w:lang w:eastAsia="da-DK"/>
        </w:rPr>
        <w:fldChar w:fldCharType="separate"/>
      </w:r>
      <w:r w:rsidR="00D17601">
        <w:t xml:space="preserve">Figure </w:t>
      </w:r>
      <w:r w:rsidR="00D17601">
        <w:rPr>
          <w:noProof/>
        </w:rPr>
        <w:t>3</w:t>
      </w:r>
      <w:r w:rsidR="00482927">
        <w:rPr>
          <w:rFonts w:eastAsia="Times New Roman"/>
          <w:lang w:eastAsia="da-DK"/>
        </w:rPr>
        <w:fldChar w:fldCharType="end"/>
      </w:r>
      <w:r>
        <w:rPr>
          <w:rFonts w:eastAsia="Times New Roman"/>
          <w:lang w:eastAsia="da-DK"/>
        </w:rPr>
        <w:t>. Moreover, since the UL-only slot covers the entire BWP of the slot while SBFD partitioned slot covers a subband, the two slot types have different bandwidths. Therefore, using the same FDRA for both slot types limits the flexibility in resource allocation by coupling the resource allocation for SBFD and UL-only slots.</w:t>
      </w:r>
    </w:p>
    <w:p w14:paraId="68294DBB" w14:textId="130E8D26" w:rsidR="00E04322" w:rsidRDefault="00872959" w:rsidP="00872959">
      <w:pPr>
        <w:spacing w:after="0"/>
        <w:jc w:val="center"/>
      </w:pPr>
      <w:r w:rsidRPr="00872959">
        <w:rPr>
          <w:noProof/>
        </w:rPr>
        <w:drawing>
          <wp:inline distT="0" distB="0" distL="0" distR="0" wp14:anchorId="71689D8E" wp14:editId="55954111">
            <wp:extent cx="4953923" cy="17196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9714" cy="1725144"/>
                    </a:xfrm>
                    <a:prstGeom prst="rect">
                      <a:avLst/>
                    </a:prstGeom>
                    <a:noFill/>
                    <a:ln>
                      <a:noFill/>
                    </a:ln>
                  </pic:spPr>
                </pic:pic>
              </a:graphicData>
            </a:graphic>
          </wp:inline>
        </w:drawing>
      </w:r>
    </w:p>
    <w:p w14:paraId="1397EDE8" w14:textId="358AFFE0" w:rsidR="00E04322" w:rsidRDefault="00F24912" w:rsidP="00E04322">
      <w:pPr>
        <w:jc w:val="center"/>
      </w:pPr>
      <w:bookmarkStart w:id="21" w:name="_Ref111206064"/>
      <w:r>
        <w:t xml:space="preserve">Figure </w:t>
      </w:r>
      <w:r>
        <w:fldChar w:fldCharType="begin"/>
      </w:r>
      <w:r>
        <w:instrText xml:space="preserve"> SEQ Figure \* ARABIC </w:instrText>
      </w:r>
      <w:r>
        <w:fldChar w:fldCharType="separate"/>
      </w:r>
      <w:r w:rsidR="00D17601">
        <w:rPr>
          <w:noProof/>
        </w:rPr>
        <w:t>3</w:t>
      </w:r>
      <w:r>
        <w:fldChar w:fldCharType="end"/>
      </w:r>
      <w:bookmarkEnd w:id="21"/>
      <w:r>
        <w:t xml:space="preserve">: </w:t>
      </w:r>
      <w:r w:rsidR="00E04322">
        <w:t>Periodic CG</w:t>
      </w:r>
      <w:r>
        <w:t>-</w:t>
      </w:r>
      <w:r w:rsidR="00E04322">
        <w:t>PUCCH transmission in SBF</w:t>
      </w:r>
      <w:r>
        <w:t>D.</w:t>
      </w:r>
    </w:p>
    <w:p w14:paraId="468E9122" w14:textId="5F5E59A5" w:rsidR="00E04322" w:rsidRDefault="00E04322" w:rsidP="00652026">
      <w:pPr>
        <w:spacing w:after="120"/>
        <w:jc w:val="both"/>
        <w:rPr>
          <w:lang w:eastAsia="en-GB"/>
        </w:rPr>
      </w:pPr>
      <w:r>
        <w:rPr>
          <w:lang w:eastAsia="en-GB"/>
        </w:rPr>
        <w:t xml:space="preserve">To enable a flexible and more efficient resource allocation, two FDRA for </w:t>
      </w:r>
      <w:r w:rsidR="004F6754">
        <w:rPr>
          <w:lang w:eastAsia="en-GB"/>
        </w:rPr>
        <w:t>CG-PUSCH</w:t>
      </w:r>
      <w:r>
        <w:rPr>
          <w:lang w:eastAsia="en-GB"/>
        </w:rPr>
        <w:t xml:space="preserve"> transmission can be provided to the UE where one FDRA is applied to the UL-only slots and the second FDRA is applied to the SBFD slot. Furthermore, due to the different availability of resources, the gNB may want to configure the UE with CG-PUSCH on the UL-only slots. The current periodicity configuration doesn’t allow such flexibility. Hence, a mechanism for skipping/disabling CG-PUSCH transmission occasions on SBFD slots can be introduced.</w:t>
      </w:r>
    </w:p>
    <w:p w14:paraId="7F2B1D38" w14:textId="0E591F3A" w:rsidR="00173904" w:rsidRDefault="00173904" w:rsidP="00652026">
      <w:pPr>
        <w:shd w:val="clear" w:color="auto" w:fill="FFFFFF"/>
        <w:spacing w:after="120"/>
        <w:jc w:val="both"/>
        <w:rPr>
          <w:b/>
          <w:bCs/>
          <w:i/>
          <w:iCs/>
        </w:rPr>
      </w:pPr>
      <w:bookmarkStart w:id="22" w:name="_Ref111210731"/>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sidR="00D17601">
        <w:rPr>
          <w:b/>
          <w:bCs/>
          <w:i/>
          <w:iCs/>
          <w:noProof/>
        </w:rPr>
        <w:t>7</w:t>
      </w:r>
      <w:r>
        <w:rPr>
          <w:b/>
          <w:bCs/>
          <w:i/>
          <w:iCs/>
        </w:rPr>
        <w:fldChar w:fldCharType="end"/>
      </w:r>
      <w:r>
        <w:rPr>
          <w:b/>
          <w:bCs/>
          <w:i/>
          <w:iCs/>
        </w:rPr>
        <w:t xml:space="preserve">: </w:t>
      </w:r>
      <w:r w:rsidRPr="00173904">
        <w:rPr>
          <w:b/>
          <w:bCs/>
          <w:i/>
          <w:iCs/>
        </w:rPr>
        <w:t>For CG-PUSCH transmission, a single FDRA is configured for all UL slots. This may impact flexibility in resource allocation in SBFD since it has two types of slots with different bandwidths</w:t>
      </w:r>
      <w:r>
        <w:rPr>
          <w:b/>
          <w:bCs/>
          <w:i/>
          <w:iCs/>
        </w:rPr>
        <w:t>.</w:t>
      </w:r>
      <w:bookmarkEnd w:id="22"/>
    </w:p>
    <w:p w14:paraId="03FC1E06" w14:textId="611C0D80" w:rsidR="00173904" w:rsidRDefault="00173904" w:rsidP="00652026">
      <w:pPr>
        <w:shd w:val="clear" w:color="auto" w:fill="FFFFFF"/>
        <w:spacing w:after="120"/>
        <w:jc w:val="both"/>
        <w:rPr>
          <w:b/>
          <w:bCs/>
          <w:i/>
          <w:iCs/>
        </w:rPr>
      </w:pPr>
      <w:bookmarkStart w:id="23" w:name="_Ref11121088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D17601">
        <w:rPr>
          <w:b/>
          <w:bCs/>
          <w:i/>
          <w:iCs/>
          <w:noProof/>
        </w:rPr>
        <w:t>5</w:t>
      </w:r>
      <w:r>
        <w:rPr>
          <w:b/>
          <w:bCs/>
          <w:i/>
          <w:iCs/>
        </w:rPr>
        <w:fldChar w:fldCharType="end"/>
      </w:r>
      <w:r>
        <w:rPr>
          <w:b/>
          <w:bCs/>
          <w:i/>
          <w:iCs/>
        </w:rPr>
        <w:t xml:space="preserve">: </w:t>
      </w:r>
      <w:r w:rsidR="00B43DFE" w:rsidRPr="00B43DFE">
        <w:rPr>
          <w:b/>
          <w:bCs/>
          <w:i/>
          <w:iCs/>
        </w:rPr>
        <w:t>Support two FDRA for CG-PUSCH transmission based on slot type</w:t>
      </w:r>
      <w:r>
        <w:rPr>
          <w:b/>
          <w:bCs/>
          <w:i/>
          <w:iCs/>
        </w:rPr>
        <w:t>.</w:t>
      </w:r>
      <w:bookmarkEnd w:id="23"/>
    </w:p>
    <w:p w14:paraId="3FE67FC1" w14:textId="034DD581" w:rsidR="00B43DFE" w:rsidRDefault="00B43DFE" w:rsidP="00652026">
      <w:pPr>
        <w:shd w:val="clear" w:color="auto" w:fill="FFFFFF"/>
        <w:spacing w:after="120"/>
        <w:jc w:val="both"/>
        <w:rPr>
          <w:b/>
          <w:bCs/>
          <w:i/>
          <w:iCs/>
        </w:rPr>
      </w:pPr>
      <w:bookmarkStart w:id="24" w:name="_Ref111210890"/>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D17601">
        <w:rPr>
          <w:b/>
          <w:bCs/>
          <w:i/>
          <w:iCs/>
          <w:noProof/>
        </w:rPr>
        <w:t>6</w:t>
      </w:r>
      <w:r>
        <w:rPr>
          <w:b/>
          <w:bCs/>
          <w:i/>
          <w:iCs/>
        </w:rPr>
        <w:fldChar w:fldCharType="end"/>
      </w:r>
      <w:r>
        <w:rPr>
          <w:b/>
          <w:bCs/>
          <w:i/>
          <w:iCs/>
        </w:rPr>
        <w:t xml:space="preserve">: </w:t>
      </w:r>
      <w:r>
        <w:rPr>
          <w:b/>
          <w:bCs/>
          <w:i/>
          <w:iCs/>
          <w:lang w:eastAsia="en-GB"/>
        </w:rPr>
        <w:t>Support skipping of periodic transmissions (e.g., CG-PUSCH) in SBFD slots</w:t>
      </w:r>
      <w:r>
        <w:rPr>
          <w:b/>
          <w:bCs/>
          <w:i/>
          <w:iCs/>
        </w:rPr>
        <w:t>.</w:t>
      </w:r>
      <w:bookmarkEnd w:id="24"/>
    </w:p>
    <w:p w14:paraId="0BF6C757" w14:textId="4C1F3351" w:rsidR="00801041" w:rsidRDefault="00801041">
      <w:pPr>
        <w:pStyle w:val="Heading4"/>
      </w:pPr>
      <w:r>
        <w:t>Resource allocation for DG-PUSCH</w:t>
      </w:r>
    </w:p>
    <w:p w14:paraId="700AF86F" w14:textId="0E693E51" w:rsidR="00801041" w:rsidRDefault="00801041" w:rsidP="004E56BC">
      <w:pPr>
        <w:jc w:val="both"/>
        <w:rPr>
          <w:lang w:eastAsia="en-GB"/>
        </w:rPr>
      </w:pPr>
      <w:r>
        <w:rPr>
          <w:lang w:eastAsia="en-GB"/>
        </w:rPr>
        <w:t xml:space="preserve">Frequency domain allocation for DG-PUSCH transmission with repetition is indicated dynamically through DCI. The UE can be configured to transmit two or more repetitions that can be across multiple consecutive slots (Repetition Type-A) and/or within a single slot (Repetition Type-B). Like the case of CG-PUSCH transmission, the group of slots for PUSCH repetition may consist of UL-only and SBFD partitioned slots/symbols. Therefore, repetition from UL-only slots may overlap with the DL subbands in SBFD partitioned slots as shown in </w:t>
      </w:r>
      <w:r w:rsidR="00482927">
        <w:rPr>
          <w:lang w:eastAsia="en-GB"/>
        </w:rPr>
        <w:fldChar w:fldCharType="begin"/>
      </w:r>
      <w:r w:rsidR="00482927">
        <w:rPr>
          <w:lang w:eastAsia="en-GB"/>
        </w:rPr>
        <w:instrText xml:space="preserve"> REF _Ref111206012 \h </w:instrText>
      </w:r>
      <w:r w:rsidR="00482927">
        <w:rPr>
          <w:lang w:eastAsia="en-GB"/>
        </w:rPr>
      </w:r>
      <w:r w:rsidR="00482927">
        <w:rPr>
          <w:lang w:eastAsia="en-GB"/>
        </w:rPr>
        <w:fldChar w:fldCharType="separate"/>
      </w:r>
      <w:r w:rsidR="00D17601">
        <w:t xml:space="preserve">Figure </w:t>
      </w:r>
      <w:r w:rsidR="00D17601">
        <w:rPr>
          <w:noProof/>
        </w:rPr>
        <w:t>4</w:t>
      </w:r>
      <w:r w:rsidR="00482927">
        <w:rPr>
          <w:lang w:eastAsia="en-GB"/>
        </w:rPr>
        <w:fldChar w:fldCharType="end"/>
      </w:r>
      <w:r>
        <w:rPr>
          <w:lang w:eastAsia="en-GB"/>
        </w:rPr>
        <w:t>. Also, using the same FDRA for both slot types within a PUSCH repetition limits the flexibility in resource allocation. One option for the gNB is to always allocate resources that are within the bandwidth of the UL-SB even in the UL-only slots. However, this will cause scheduling limitation and UEs’ congestion in the middle of the UL-only slots.</w:t>
      </w:r>
    </w:p>
    <w:p w14:paraId="05AFAECE" w14:textId="5C565F4E" w:rsidR="00652026" w:rsidRDefault="00652026" w:rsidP="004E56BC">
      <w:pPr>
        <w:spacing w:after="0"/>
        <w:jc w:val="center"/>
      </w:pPr>
      <w:r w:rsidRPr="00652026">
        <w:rPr>
          <w:noProof/>
        </w:rPr>
        <w:drawing>
          <wp:inline distT="0" distB="0" distL="0" distR="0" wp14:anchorId="29DFD702" wp14:editId="62BBDE92">
            <wp:extent cx="3382645" cy="195199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2645" cy="1951990"/>
                    </a:xfrm>
                    <a:prstGeom prst="rect">
                      <a:avLst/>
                    </a:prstGeom>
                    <a:noFill/>
                    <a:ln>
                      <a:noFill/>
                    </a:ln>
                  </pic:spPr>
                </pic:pic>
              </a:graphicData>
            </a:graphic>
          </wp:inline>
        </w:drawing>
      </w:r>
    </w:p>
    <w:p w14:paraId="70BD4BCB" w14:textId="5AB6FF6E" w:rsidR="00801041" w:rsidRDefault="00801041" w:rsidP="00801041">
      <w:pPr>
        <w:jc w:val="center"/>
      </w:pPr>
      <w:bookmarkStart w:id="25" w:name="_Ref111206012"/>
      <w:r>
        <w:t xml:space="preserve">Figure </w:t>
      </w:r>
      <w:r>
        <w:fldChar w:fldCharType="begin"/>
      </w:r>
      <w:r>
        <w:instrText xml:space="preserve"> SEQ Figure \* ARABIC </w:instrText>
      </w:r>
      <w:r>
        <w:fldChar w:fldCharType="separate"/>
      </w:r>
      <w:r w:rsidR="00D17601">
        <w:rPr>
          <w:noProof/>
        </w:rPr>
        <w:t>4</w:t>
      </w:r>
      <w:r>
        <w:fldChar w:fldCharType="end"/>
      </w:r>
      <w:bookmarkEnd w:id="25"/>
      <w:r>
        <w:t>: DG</w:t>
      </w:r>
      <w:r w:rsidR="00482927">
        <w:t>-</w:t>
      </w:r>
      <w:r>
        <w:t>PUCCH repetition in SBF</w:t>
      </w:r>
      <w:r w:rsidR="00482927">
        <w:t>D.</w:t>
      </w:r>
    </w:p>
    <w:p w14:paraId="291199DE" w14:textId="4FB5B02C" w:rsidR="00801041" w:rsidRDefault="00801041" w:rsidP="00652026">
      <w:pPr>
        <w:spacing w:after="120"/>
        <w:jc w:val="both"/>
        <w:rPr>
          <w:lang w:eastAsia="en-GB"/>
        </w:rPr>
      </w:pPr>
      <w:r>
        <w:rPr>
          <w:lang w:eastAsia="en-GB"/>
        </w:rPr>
        <w:t xml:space="preserve">One possible approach to address the issue is to support two FDRA for DG-PUSCH repetition. One FDRA is defined for UL-only slots within the DG-PUSCH repetition, whereas the other FDRA is defined for SBFD partitioned slots/symbols within the DG-PUSCH repetition. Another approach is to allow the repetitions to be performed on specific set of slots (e.g., UL-only slots) and skipped on other set of slots (e.g., SBFD slots). Certainly, this feature needs to be enabled/disabled dynamically to allow the repetitions to be performed on both types of slots when needed. In addition, </w:t>
      </w:r>
      <w:r>
        <w:rPr>
          <w:lang w:eastAsia="en-GB"/>
        </w:rPr>
        <w:lastRenderedPageBreak/>
        <w:t>enhanced UEs should support skipping of specific repetitions for DG-PUSCH repetition. The UE can skip repetitions that overlaps with the DL subband in SBFD partitioned slots.</w:t>
      </w:r>
    </w:p>
    <w:p w14:paraId="323B2F7E" w14:textId="4E416631" w:rsidR="00652026" w:rsidRDefault="00652026" w:rsidP="00652026">
      <w:pPr>
        <w:shd w:val="clear" w:color="auto" w:fill="FFFFFF"/>
        <w:spacing w:after="120"/>
        <w:jc w:val="both"/>
        <w:rPr>
          <w:b/>
          <w:bCs/>
          <w:i/>
          <w:iCs/>
        </w:rPr>
      </w:pPr>
      <w:bookmarkStart w:id="26" w:name="_Ref111210732"/>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sidR="00D17601">
        <w:rPr>
          <w:b/>
          <w:bCs/>
          <w:i/>
          <w:iCs/>
          <w:noProof/>
        </w:rPr>
        <w:t>8</w:t>
      </w:r>
      <w:r>
        <w:rPr>
          <w:b/>
          <w:bCs/>
          <w:i/>
          <w:iCs/>
        </w:rPr>
        <w:fldChar w:fldCharType="end"/>
      </w:r>
      <w:r>
        <w:rPr>
          <w:b/>
          <w:bCs/>
          <w:i/>
          <w:iCs/>
        </w:rPr>
        <w:t xml:space="preserve">: </w:t>
      </w:r>
      <w:r>
        <w:rPr>
          <w:b/>
          <w:bCs/>
          <w:i/>
          <w:iCs/>
          <w:lang w:eastAsia="en-GB"/>
        </w:rPr>
        <w:t>For DG-PUSCH with repetition, a single FDRA is defined for all slots within a repetition. This may impact flexibility in resource allocation in SBFD since it has two types of slots with different bandwidths</w:t>
      </w:r>
      <w:r>
        <w:rPr>
          <w:b/>
          <w:bCs/>
          <w:i/>
          <w:iCs/>
        </w:rPr>
        <w:t>.</w:t>
      </w:r>
      <w:bookmarkEnd w:id="26"/>
    </w:p>
    <w:p w14:paraId="2399BB95" w14:textId="7D6EF8A1" w:rsidR="00652026" w:rsidRDefault="00652026" w:rsidP="00652026">
      <w:pPr>
        <w:shd w:val="clear" w:color="auto" w:fill="FFFFFF"/>
        <w:spacing w:after="120"/>
        <w:jc w:val="both"/>
        <w:rPr>
          <w:b/>
          <w:bCs/>
          <w:i/>
          <w:iCs/>
        </w:rPr>
      </w:pPr>
      <w:bookmarkStart w:id="27" w:name="_Ref111210891"/>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D17601">
        <w:rPr>
          <w:b/>
          <w:bCs/>
          <w:i/>
          <w:iCs/>
          <w:noProof/>
        </w:rPr>
        <w:t>7</w:t>
      </w:r>
      <w:r>
        <w:rPr>
          <w:b/>
          <w:bCs/>
          <w:i/>
          <w:iCs/>
        </w:rPr>
        <w:fldChar w:fldCharType="end"/>
      </w:r>
      <w:r>
        <w:rPr>
          <w:b/>
          <w:bCs/>
          <w:i/>
          <w:iCs/>
        </w:rPr>
        <w:t>:</w:t>
      </w:r>
      <w:r w:rsidRPr="00652026">
        <w:rPr>
          <w:b/>
          <w:bCs/>
          <w:i/>
          <w:iCs/>
          <w:lang w:eastAsia="en-GB"/>
        </w:rPr>
        <w:t xml:space="preserve"> </w:t>
      </w:r>
      <w:r>
        <w:rPr>
          <w:b/>
          <w:bCs/>
          <w:i/>
          <w:iCs/>
          <w:lang w:eastAsia="en-GB"/>
        </w:rPr>
        <w:t>Support two FDRA for DG-PUSCH repetition based on slot type</w:t>
      </w:r>
      <w:r>
        <w:rPr>
          <w:b/>
          <w:bCs/>
          <w:i/>
          <w:iCs/>
        </w:rPr>
        <w:t>.</w:t>
      </w:r>
      <w:bookmarkEnd w:id="27"/>
    </w:p>
    <w:p w14:paraId="35C558B4" w14:textId="30E36C21" w:rsidR="00652026" w:rsidRDefault="00652026" w:rsidP="00652026">
      <w:pPr>
        <w:shd w:val="clear" w:color="auto" w:fill="FFFFFF"/>
        <w:spacing w:after="120"/>
        <w:jc w:val="both"/>
        <w:rPr>
          <w:b/>
          <w:bCs/>
          <w:i/>
          <w:iCs/>
        </w:rPr>
      </w:pPr>
      <w:bookmarkStart w:id="28" w:name="_Ref111210893"/>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D17601">
        <w:rPr>
          <w:b/>
          <w:bCs/>
          <w:i/>
          <w:iCs/>
          <w:noProof/>
        </w:rPr>
        <w:t>8</w:t>
      </w:r>
      <w:r>
        <w:rPr>
          <w:b/>
          <w:bCs/>
          <w:i/>
          <w:iCs/>
        </w:rPr>
        <w:fldChar w:fldCharType="end"/>
      </w:r>
      <w:r>
        <w:rPr>
          <w:b/>
          <w:bCs/>
          <w:i/>
          <w:iCs/>
        </w:rPr>
        <w:t>:</w:t>
      </w:r>
      <w:r>
        <w:rPr>
          <w:b/>
          <w:bCs/>
          <w:i/>
          <w:iCs/>
          <w:lang w:eastAsia="en-GB"/>
        </w:rPr>
        <w:t xml:space="preserve"> Allow the support of skipping of PUSCH repetition that occurs in SBFD slots</w:t>
      </w:r>
      <w:r>
        <w:rPr>
          <w:b/>
          <w:bCs/>
          <w:i/>
          <w:iCs/>
        </w:rPr>
        <w:t>.</w:t>
      </w:r>
      <w:bookmarkEnd w:id="28"/>
    </w:p>
    <w:p w14:paraId="29635CAC" w14:textId="10D52BD3" w:rsidR="004E56BC" w:rsidRDefault="004E56BC">
      <w:pPr>
        <w:pStyle w:val="Heading4"/>
      </w:pPr>
      <w:r>
        <w:t>PUSCH Frequency Hopping</w:t>
      </w:r>
    </w:p>
    <w:p w14:paraId="0A013C01" w14:textId="77777777" w:rsidR="004E56BC" w:rsidRDefault="004E56BC" w:rsidP="00D34584">
      <w:pPr>
        <w:spacing w:after="120"/>
        <w:jc w:val="both"/>
        <w:rPr>
          <w:lang w:eastAsia="en-GB"/>
        </w:rPr>
      </w:pPr>
      <w:r>
        <w:rPr>
          <w:lang w:eastAsia="en-GB"/>
        </w:rPr>
        <w:t xml:space="preserve">According to the current specification, the UE can be instructed through RRC or DCI to apply either intra-slot or inter-slot frequency hopping. Intra-slot frequency hopping divides the symbols within a slot into two sections. The first section applies the original FDRA assignment with no offset, while the second section applies a frequency hopping offset. In the case of inter-slot frequency hopping, different RB assignments are applied for even and odd numbered slots. Even numbered slots apply the indicated FDRA assignment with no offset, while odd numbered slots apply a frequency hopping offset. </w:t>
      </w:r>
    </w:p>
    <w:p w14:paraId="6C67A310" w14:textId="1C89D401" w:rsidR="004E56BC" w:rsidRDefault="004E56BC" w:rsidP="00D34584">
      <w:pPr>
        <w:spacing w:after="120"/>
        <w:jc w:val="both"/>
        <w:rPr>
          <w:lang w:eastAsia="en-GB"/>
        </w:rPr>
      </w:pPr>
      <w:r>
        <w:rPr>
          <w:lang w:val="en-US" w:eastAsia="en-GB"/>
        </w:rPr>
        <w:t xml:space="preserve">For both intra-slot and inter-slot frequency, the RB start after applying frequency hopping offset is calculated such that the resource allocation is confined within the UL BWP. For SBFD partitioned slots, </w:t>
      </w:r>
      <w:r>
        <w:rPr>
          <w:lang w:eastAsia="en-GB"/>
        </w:rPr>
        <w:t>the resource allocation with frequency hopping is likely to overlap with DL subband since the bandwidth of the UL subband is less than the bandwidth of the BWP, as shown in</w:t>
      </w:r>
      <w:r w:rsidR="00846183">
        <w:rPr>
          <w:lang w:eastAsia="en-GB"/>
        </w:rPr>
        <w:t xml:space="preserve"> </w:t>
      </w:r>
      <w:r w:rsidR="00846183">
        <w:rPr>
          <w:lang w:eastAsia="en-GB"/>
        </w:rPr>
        <w:fldChar w:fldCharType="begin"/>
      </w:r>
      <w:r w:rsidR="00846183">
        <w:rPr>
          <w:lang w:eastAsia="en-GB"/>
        </w:rPr>
        <w:instrText xml:space="preserve"> REF _Ref111207280 \h </w:instrText>
      </w:r>
      <w:r w:rsidR="00846183">
        <w:rPr>
          <w:lang w:eastAsia="en-GB"/>
        </w:rPr>
      </w:r>
      <w:r w:rsidR="00846183">
        <w:rPr>
          <w:lang w:eastAsia="en-GB"/>
        </w:rPr>
        <w:fldChar w:fldCharType="separate"/>
      </w:r>
      <w:r w:rsidR="00D17601">
        <w:t xml:space="preserve">Figure </w:t>
      </w:r>
      <w:r w:rsidR="00D17601">
        <w:rPr>
          <w:noProof/>
        </w:rPr>
        <w:t>5</w:t>
      </w:r>
      <w:r w:rsidR="00846183">
        <w:rPr>
          <w:lang w:eastAsia="en-GB"/>
        </w:rPr>
        <w:fldChar w:fldCharType="end"/>
      </w:r>
      <w:r>
        <w:rPr>
          <w:lang w:eastAsia="en-GB"/>
        </w:rPr>
        <w:t xml:space="preserve">. Therefore, </w:t>
      </w:r>
      <w:r>
        <w:rPr>
          <w:color w:val="000000" w:themeColor="text1"/>
          <w:kern w:val="24"/>
          <w:lang w:val="en-US"/>
        </w:rPr>
        <w:t xml:space="preserve">the starting RB for both intra-slot and inter-slot frequency hopping must be chosen to ensure that the resource allocation always remains within the UL subband of SBFD partitioned slots. </w:t>
      </w:r>
    </w:p>
    <w:p w14:paraId="079595FA" w14:textId="225D89EA" w:rsidR="00D34584" w:rsidRDefault="00D34584" w:rsidP="004E56BC">
      <w:pPr>
        <w:spacing w:after="0"/>
        <w:jc w:val="center"/>
        <w:rPr>
          <w:sz w:val="24"/>
          <w:szCs w:val="24"/>
          <w:lang w:eastAsia="en-GB"/>
        </w:rPr>
      </w:pPr>
      <w:r w:rsidRPr="00D34584">
        <w:rPr>
          <w:noProof/>
        </w:rPr>
        <w:drawing>
          <wp:inline distT="0" distB="0" distL="0" distR="0" wp14:anchorId="0E54AD9B" wp14:editId="070DC414">
            <wp:extent cx="4648294" cy="1811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1100" cy="1816935"/>
                    </a:xfrm>
                    <a:prstGeom prst="rect">
                      <a:avLst/>
                    </a:prstGeom>
                    <a:noFill/>
                    <a:ln>
                      <a:noFill/>
                    </a:ln>
                  </pic:spPr>
                </pic:pic>
              </a:graphicData>
            </a:graphic>
          </wp:inline>
        </w:drawing>
      </w:r>
    </w:p>
    <w:p w14:paraId="37F3B92B" w14:textId="55D9C8FF" w:rsidR="004E56BC" w:rsidRDefault="00C82E22" w:rsidP="004E56BC">
      <w:pPr>
        <w:jc w:val="center"/>
      </w:pPr>
      <w:bookmarkStart w:id="29" w:name="_Ref111207280"/>
      <w:r>
        <w:t xml:space="preserve">Figure </w:t>
      </w:r>
      <w:r>
        <w:fldChar w:fldCharType="begin"/>
      </w:r>
      <w:r>
        <w:instrText xml:space="preserve"> SEQ Figure \* ARABIC </w:instrText>
      </w:r>
      <w:r>
        <w:fldChar w:fldCharType="separate"/>
      </w:r>
      <w:r w:rsidR="00D17601">
        <w:rPr>
          <w:noProof/>
        </w:rPr>
        <w:t>5</w:t>
      </w:r>
      <w:r>
        <w:fldChar w:fldCharType="end"/>
      </w:r>
      <w:bookmarkEnd w:id="29"/>
      <w:r>
        <w:t>: PUSCH f</w:t>
      </w:r>
      <w:r w:rsidR="004E56BC">
        <w:t>requency hopping in SBD</w:t>
      </w:r>
      <w:r>
        <w:t>.</w:t>
      </w:r>
    </w:p>
    <w:p w14:paraId="1C137D77" w14:textId="77777777" w:rsidR="004E56BC" w:rsidRDefault="004E56BC" w:rsidP="00D34584">
      <w:pPr>
        <w:spacing w:after="120"/>
        <w:jc w:val="both"/>
        <w:rPr>
          <w:lang w:eastAsia="en-GB"/>
        </w:rPr>
      </w:pPr>
      <w:r>
        <w:rPr>
          <w:lang w:eastAsia="en-GB"/>
        </w:rPr>
        <w:t xml:space="preserve">The main advantage of frequency hopping is to provide frequency diversity and robustness to poor channel conditions. For SBFD partitioned slots, the diversity gain obtained from frequency hopping is reduced compared to UL-only slots because of the smaller UL subband. Therefore, a mechanism to disable the inter-slot frequency hopping in SBFD slots could help in allowing flexible frequency hopping in the UL-only slots. </w:t>
      </w:r>
    </w:p>
    <w:p w14:paraId="32C105B7" w14:textId="77777777" w:rsidR="004E56BC" w:rsidRDefault="004E56BC" w:rsidP="00D34584">
      <w:pPr>
        <w:spacing w:after="120"/>
        <w:jc w:val="both"/>
        <w:rPr>
          <w:lang w:eastAsia="en-GB"/>
        </w:rPr>
      </w:pPr>
      <w:r>
        <w:rPr>
          <w:lang w:eastAsia="en-GB"/>
        </w:rPr>
        <w:t xml:space="preserve">Alternatively, the frequency hopping procedure needs to be modified to enable frequency hopping that is confined within the UL-SB in the SBFD slots. This can be done by changing the expression for calculating the starting RB for frequency hopping. For SBFD slots the factor for the modulo operation should be changed to the number of RBs within the UL-SB. In addition, a new factor should be added to indicate the first RB in the UL-SB. Therefore, the expression for calculating the starting RB for intra-slot frequency hopping can be modified as  </w:t>
      </w:r>
    </w:p>
    <w:p w14:paraId="3204FBE6" w14:textId="77777777" w:rsidR="004E56BC" w:rsidRPr="00D20B19" w:rsidRDefault="0023288C" w:rsidP="00D34584">
      <w:pPr>
        <w:spacing w:after="120"/>
        <w:jc w:val="both"/>
        <w:rPr>
          <w:iCs/>
          <w:color w:val="000000" w:themeColor="text1"/>
          <w:kern w:val="24"/>
        </w:rPr>
      </w:pPr>
      <m:oMathPara>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d>
            <m:dPr>
              <m:begChr m:val="{"/>
              <m:endChr m:val=""/>
              <m:ctrlPr>
                <w:rPr>
                  <w:rFonts w:ascii="Cambria Math" w:hAnsi="Cambria Math"/>
                  <w:i/>
                  <w:iCs/>
                  <w:color w:val="000000" w:themeColor="text1"/>
                  <w:kern w:val="24"/>
                </w:rPr>
              </m:ctrlPr>
            </m:dPr>
            <m:e>
              <m:eqArr>
                <m:eqArrPr>
                  <m:ctrlPr>
                    <w:rPr>
                      <w:rFonts w:ascii="Cambria Math" w:hAnsi="Cambria Math"/>
                      <w:i/>
                      <w:iCs/>
                      <w:color w:val="000000" w:themeColor="text1"/>
                      <w:kern w:val="24"/>
                    </w:rPr>
                  </m:ctrlPr>
                </m:eqArrPr>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                                                                                i=0</m:t>
                  </m:r>
                </m:e>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r>
                    <w:rPr>
                      <w:rFonts w:ascii="Cambria Math" w:hAnsi="Cambria Math"/>
                      <w:color w:val="000000" w:themeColor="text1"/>
                      <w:kern w:val="24"/>
                    </w:rPr>
                    <m:t>)mod </m:t>
                  </m:r>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first</m:t>
                      </m:r>
                    </m:sub>
                  </m:sSub>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      i=1</m:t>
                  </m:r>
                </m:e>
              </m:eqArr>
            </m:e>
          </m:d>
        </m:oMath>
      </m:oMathPara>
    </w:p>
    <w:p w14:paraId="044065CC" w14:textId="03F509E3" w:rsidR="004E56BC" w:rsidRDefault="004E56BC" w:rsidP="00D34584">
      <w:pPr>
        <w:spacing w:after="120" w:line="216" w:lineRule="auto"/>
        <w:contextualSpacing/>
        <w:jc w:val="both"/>
        <w:rPr>
          <w:color w:val="000000" w:themeColor="text1"/>
          <w:kern w:val="24"/>
          <w:lang w:val="en-US"/>
        </w:rPr>
      </w:pPr>
      <w:r>
        <w:rPr>
          <w:color w:val="000000" w:themeColor="text1"/>
          <w:kern w:val="24"/>
          <w:lang w:val="en-US"/>
        </w:rPr>
        <w:t xml:space="preserve">where </w:t>
      </w:r>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oMath>
      <w:r>
        <w:rPr>
          <w:color w:val="000000" w:themeColor="text1"/>
          <w:kern w:val="24"/>
          <w:lang w:val="en-US"/>
        </w:rPr>
        <w:t xml:space="preserve"> is the starting RB within the slot based on FDRA, </w:t>
      </w:r>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oMath>
      <w:r>
        <w:rPr>
          <w:color w:val="000000" w:themeColor="text1"/>
          <w:kern w:val="24"/>
          <w:lang w:val="en-US"/>
        </w:rPr>
        <w:t xml:space="preserve"> is the frequency hopping offset, </w:t>
      </w:r>
      <m:oMath>
        <m:r>
          <w:rPr>
            <w:rFonts w:ascii="Cambria Math" w:hAnsi="Cambria Math"/>
            <w:color w:val="000000" w:themeColor="text1"/>
            <w:kern w:val="24"/>
          </w:rPr>
          <m:t>i=0</m:t>
        </m:r>
      </m:oMath>
      <w:r>
        <w:rPr>
          <w:color w:val="000000" w:themeColor="text1"/>
          <w:kern w:val="24"/>
          <w:lang w:val="en-US"/>
        </w:rPr>
        <w:t xml:space="preserve"> and </w:t>
      </w:r>
      <m:oMath>
        <m:r>
          <w:rPr>
            <w:rFonts w:ascii="Cambria Math" w:hAnsi="Cambria Math"/>
            <w:color w:val="000000" w:themeColor="text1"/>
            <w:kern w:val="24"/>
          </w:rPr>
          <m:t>i</m:t>
        </m:r>
        <m:r>
          <m:rPr>
            <m:sty m:val="p"/>
          </m:rPr>
          <w:rPr>
            <w:rFonts w:ascii="Cambria Math" w:hAnsi="Cambria Math"/>
            <w:color w:val="000000" w:themeColor="text1"/>
            <w:kern w:val="24"/>
          </w:rPr>
          <m:t>=1</m:t>
        </m:r>
      </m:oMath>
      <w:r w:rsidR="000C0B1D">
        <w:rPr>
          <w:color w:val="000000" w:themeColor="text1"/>
          <w:kern w:val="24"/>
          <w:lang w:val="en-US"/>
        </w:rPr>
        <w:t xml:space="preserve"> </w:t>
      </w:r>
      <w:r>
        <w:rPr>
          <w:color w:val="000000" w:themeColor="text1"/>
          <w:kern w:val="24"/>
          <w:lang w:val="en-US"/>
        </w:rPr>
        <w:t>are the first hop and second hop</w:t>
      </w:r>
      <w:r w:rsidR="00D20B19">
        <w:rPr>
          <w:color w:val="000000" w:themeColor="text1"/>
          <w:kern w:val="24"/>
          <w:lang w:val="en-US"/>
        </w:rPr>
        <w:t>,</w:t>
      </w:r>
      <w:r>
        <w:rPr>
          <w:color w:val="000000" w:themeColor="text1"/>
          <w:kern w:val="24"/>
          <w:lang w:val="en-US"/>
        </w:rPr>
        <w:t xml:space="preserve"> respectively, </w:t>
      </w:r>
      <m:oMath>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oMath>
      <w:r>
        <w:rPr>
          <w:color w:val="000000" w:themeColor="text1"/>
          <w:kern w:val="24"/>
          <w:lang w:val="en-US"/>
        </w:rPr>
        <w:t xml:space="preserve"> is the maximum number of RBs for the set of slots with index</w:t>
      </w:r>
      <w:r w:rsidR="00D20B19">
        <w:rPr>
          <w:color w:val="000000" w:themeColor="text1"/>
          <w:kern w:val="24"/>
          <w:lang w:val="en-US"/>
        </w:rPr>
        <w:t xml:space="preserve"> </w:t>
      </w:r>
      <w:r w:rsidR="00D20B19" w:rsidRPr="00D20B19">
        <w:rPr>
          <w:i/>
          <w:iCs/>
          <w:color w:val="000000" w:themeColor="text1"/>
          <w:kern w:val="24"/>
          <w:lang w:val="en-US"/>
        </w:rPr>
        <w:t>j</w:t>
      </w:r>
      <w:r>
        <w:rPr>
          <w:color w:val="000000" w:themeColor="text1"/>
          <w:kern w:val="24"/>
          <w:lang w:val="en-US"/>
        </w:rPr>
        <w:t>,</w:t>
      </w:r>
      <w:r w:rsidR="000C0B1D">
        <w:rPr>
          <w:color w:val="000000" w:themeColor="text1"/>
          <w:kern w:val="24"/>
          <w:lang w:val="en-US"/>
        </w:rPr>
        <w:t xml:space="preserve"> </w:t>
      </w:r>
      <w:r w:rsidR="000C0B1D" w:rsidRPr="000C0B1D">
        <w:rPr>
          <w:i/>
          <w:iCs/>
          <w:color w:val="000000" w:themeColor="text1"/>
          <w:kern w:val="24"/>
          <w:lang w:val="en-US"/>
        </w:rPr>
        <w:t>RB</w:t>
      </w:r>
      <w:r w:rsidR="000C0B1D" w:rsidRPr="000C0B1D">
        <w:rPr>
          <w:i/>
          <w:iCs/>
          <w:color w:val="000000" w:themeColor="text1"/>
          <w:kern w:val="24"/>
          <w:vertAlign w:val="subscript"/>
          <w:lang w:val="en-US"/>
        </w:rPr>
        <w:t>first</w:t>
      </w:r>
      <w:r w:rsidR="000C0B1D" w:rsidRPr="000C0B1D">
        <w:rPr>
          <w:i/>
          <w:iCs/>
          <w:color w:val="000000" w:themeColor="text1"/>
          <w:kern w:val="24"/>
          <w:lang w:val="en-US"/>
        </w:rPr>
        <w:t>(j)</w:t>
      </w:r>
      <w:r w:rsidR="00D20B19">
        <w:rPr>
          <w:color w:val="000000" w:themeColor="text1"/>
          <w:kern w:val="24"/>
          <w:lang w:val="en-US"/>
        </w:rPr>
        <w:t xml:space="preserve"> </w:t>
      </w:r>
      <w:r>
        <w:rPr>
          <w:color w:val="000000" w:themeColor="text1"/>
          <w:kern w:val="24"/>
          <w:lang w:val="en-US"/>
        </w:rPr>
        <w:t>is the first UL RB for the set of slots with index</w:t>
      </w:r>
      <w:r w:rsidR="000C0B1D">
        <w:rPr>
          <w:color w:val="000000" w:themeColor="text1"/>
          <w:kern w:val="24"/>
          <w:lang w:val="en-US"/>
        </w:rPr>
        <w:t xml:space="preserve"> </w:t>
      </w:r>
      <w:r w:rsidR="000C0B1D" w:rsidRPr="000C0B1D">
        <w:rPr>
          <w:i/>
          <w:iCs/>
          <w:color w:val="000000" w:themeColor="text1"/>
          <w:kern w:val="24"/>
          <w:lang w:val="en-US"/>
        </w:rPr>
        <w:t>j</w:t>
      </w:r>
      <w:r>
        <w:rPr>
          <w:color w:val="000000" w:themeColor="text1"/>
          <w:kern w:val="24"/>
          <w:lang w:val="en-US"/>
        </w:rPr>
        <w:t xml:space="preserve"> , </w:t>
      </w:r>
      <m:oMath>
        <m:r>
          <w:rPr>
            <w:rFonts w:ascii="Cambria Math" w:hAnsi="Cambria Math"/>
            <w:color w:val="000000" w:themeColor="text1"/>
            <w:kern w:val="24"/>
            <w:lang w:val="en-US"/>
          </w:rPr>
          <m:t>j</m:t>
        </m:r>
        <m:r>
          <m:rPr>
            <m:sty m:val="p"/>
          </m:rPr>
          <w:rPr>
            <w:rFonts w:ascii="Cambria Math" w:hAnsi="Cambria Math"/>
            <w:color w:val="000000" w:themeColor="text1"/>
            <w:kern w:val="24"/>
          </w:rPr>
          <m:t>∈</m:t>
        </m:r>
        <m:d>
          <m:dPr>
            <m:begChr m:val="{"/>
            <m:endChr m:val="}"/>
            <m:ctrlPr>
              <w:rPr>
                <w:rFonts w:ascii="Cambria Math" w:eastAsia="Cambria Math" w:hAnsi="Cambria Math"/>
                <w:color w:val="000000" w:themeColor="text1"/>
                <w:kern w:val="24"/>
              </w:rPr>
            </m:ctrlPr>
          </m:dPr>
          <m:e>
            <m:r>
              <m:rPr>
                <m:sty m:val="p"/>
              </m:rPr>
              <w:rPr>
                <w:rFonts w:ascii="Cambria Math" w:eastAsia="Cambria Math" w:hAnsi="Cambria Math"/>
                <w:color w:val="000000" w:themeColor="text1"/>
                <w:kern w:val="24"/>
              </w:rPr>
              <m:t>0,1</m:t>
            </m:r>
          </m:e>
        </m:d>
      </m:oMath>
      <w:r>
        <w:rPr>
          <w:color w:val="000000" w:themeColor="text1"/>
          <w:kern w:val="24"/>
          <w:lang w:val="en-US"/>
        </w:rPr>
        <w:t xml:space="preserve">. </w:t>
      </w:r>
    </w:p>
    <w:p w14:paraId="358E0246" w14:textId="77777777" w:rsidR="004E56BC" w:rsidRDefault="004E56BC" w:rsidP="00D34584">
      <w:pPr>
        <w:spacing w:after="120" w:line="216" w:lineRule="auto"/>
        <w:contextualSpacing/>
        <w:jc w:val="both"/>
        <w:rPr>
          <w:color w:val="000000" w:themeColor="text1"/>
          <w:kern w:val="24"/>
          <w:sz w:val="24"/>
          <w:szCs w:val="24"/>
          <w:lang w:val="en-US"/>
        </w:rPr>
      </w:pPr>
    </w:p>
    <w:p w14:paraId="23FA15FE" w14:textId="77777777" w:rsidR="004E56BC" w:rsidRDefault="004E56BC" w:rsidP="00D34584">
      <w:pPr>
        <w:spacing w:after="120" w:line="216" w:lineRule="auto"/>
        <w:contextualSpacing/>
        <w:jc w:val="both"/>
        <w:rPr>
          <w:lang w:eastAsia="en-GB"/>
        </w:rPr>
      </w:pPr>
      <w:r>
        <w:rPr>
          <w:color w:val="000000" w:themeColor="text1"/>
          <w:kern w:val="24"/>
          <w:lang w:val="en-US"/>
        </w:rPr>
        <w:t xml:space="preserve">Similarly, </w:t>
      </w:r>
      <w:r>
        <w:rPr>
          <w:lang w:eastAsia="en-GB"/>
        </w:rPr>
        <w:t xml:space="preserve">the expression for calculating the starting RB for inter-slot frequency hopping can be modified as  </w:t>
      </w:r>
    </w:p>
    <w:p w14:paraId="4C2A6D97" w14:textId="77777777" w:rsidR="004E56BC" w:rsidRDefault="004E56BC" w:rsidP="00D34584">
      <w:pPr>
        <w:spacing w:after="120" w:line="216" w:lineRule="auto"/>
        <w:contextualSpacing/>
        <w:jc w:val="both"/>
        <w:rPr>
          <w:sz w:val="24"/>
          <w:szCs w:val="24"/>
          <w:lang w:eastAsia="en-GB"/>
        </w:rPr>
      </w:pPr>
    </w:p>
    <w:p w14:paraId="12BB1C2A" w14:textId="77777777" w:rsidR="004E56BC" w:rsidRPr="00D20B19" w:rsidRDefault="0023288C" w:rsidP="00D34584">
      <w:pPr>
        <w:spacing w:after="120"/>
        <w:jc w:val="both"/>
        <w:rPr>
          <w:rFonts w:ascii="Arial" w:eastAsia="Times New Roman" w:hAnsi="Arial"/>
          <w:iCs/>
          <w:color w:val="000000" w:themeColor="text1"/>
          <w:kern w:val="24"/>
        </w:rPr>
      </w:pPr>
      <m:oMathPara>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d>
            <m:dPr>
              <m:ctrlPr>
                <w:rPr>
                  <w:rFonts w:ascii="Cambria Math" w:hAnsi="Cambria Math"/>
                  <w:i/>
                  <w:iCs/>
                  <w:color w:val="000000" w:themeColor="text1"/>
                  <w:kern w:val="24"/>
                </w:rPr>
              </m:ctrlPr>
            </m:dPr>
            <m:e>
              <m:r>
                <w:rPr>
                  <w:rFonts w:ascii="Cambria Math" w:hAnsi="Cambria Math"/>
                  <w:color w:val="000000" w:themeColor="text1"/>
                  <w:kern w:val="24"/>
                </w:rPr>
                <m:t>n</m:t>
              </m:r>
            </m:e>
          </m:d>
          <m:r>
            <w:rPr>
              <w:rFonts w:ascii="Cambria Math" w:hAnsi="Cambria Math"/>
              <w:color w:val="000000" w:themeColor="text1"/>
              <w:kern w:val="24"/>
            </w:rPr>
            <m:t>=</m:t>
          </m:r>
          <m:d>
            <m:dPr>
              <m:begChr m:val="{"/>
              <m:endChr m:val=""/>
              <m:ctrlPr>
                <w:rPr>
                  <w:rFonts w:ascii="Cambria Math" w:hAnsi="Cambria Math"/>
                  <w:i/>
                  <w:iCs/>
                  <w:color w:val="000000" w:themeColor="text1"/>
                  <w:kern w:val="24"/>
                </w:rPr>
              </m:ctrlPr>
            </m:dPr>
            <m:e>
              <m:eqArr>
                <m:eqArrPr>
                  <m:ctrlPr>
                    <w:rPr>
                      <w:rFonts w:ascii="Cambria Math" w:hAnsi="Cambria Math"/>
                      <w:i/>
                      <w:iCs/>
                      <w:color w:val="000000" w:themeColor="text1"/>
                      <w:kern w:val="24"/>
                    </w:rPr>
                  </m:ctrlPr>
                </m:eqArrPr>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                                                                              n mod 2=0</m:t>
                  </m:r>
                </m:e>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r>
                    <w:rPr>
                      <w:rFonts w:ascii="Cambria Math" w:hAnsi="Cambria Math"/>
                      <w:color w:val="000000" w:themeColor="text1"/>
                      <w:kern w:val="24"/>
                    </w:rPr>
                    <m:t>)mod </m:t>
                  </m:r>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first</m:t>
                      </m:r>
                    </m:sub>
                  </m:sSub>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   n mod 2=1</m:t>
                  </m:r>
                </m:e>
              </m:eqArr>
            </m:e>
          </m:d>
        </m:oMath>
      </m:oMathPara>
    </w:p>
    <w:p w14:paraId="2F3436B9" w14:textId="6DB3DBB8" w:rsidR="004E56BC" w:rsidRDefault="00353D79" w:rsidP="00D34584">
      <w:pPr>
        <w:spacing w:after="120" w:line="216" w:lineRule="auto"/>
        <w:contextualSpacing/>
        <w:jc w:val="both"/>
        <w:rPr>
          <w:color w:val="000000" w:themeColor="text1"/>
          <w:kern w:val="24"/>
          <w:lang w:val="en-US"/>
        </w:rPr>
      </w:pPr>
      <w:r>
        <w:rPr>
          <w:color w:val="000000" w:themeColor="text1"/>
          <w:kern w:val="24"/>
          <w:lang w:val="en-US"/>
        </w:rPr>
        <w:t>W</w:t>
      </w:r>
      <w:r w:rsidR="004E56BC">
        <w:rPr>
          <w:color w:val="000000" w:themeColor="text1"/>
          <w:kern w:val="24"/>
          <w:lang w:val="en-US"/>
        </w:rPr>
        <w:t>here</w:t>
      </w:r>
      <w:r>
        <w:rPr>
          <w:color w:val="000000" w:themeColor="text1"/>
          <w:kern w:val="24"/>
          <w:lang w:val="en-US"/>
        </w:rPr>
        <w:t xml:space="preserve"> </w:t>
      </w:r>
      <w:r w:rsidRPr="00353D79">
        <w:rPr>
          <w:i/>
          <w:iCs/>
          <w:color w:val="000000" w:themeColor="text1"/>
          <w:kern w:val="24"/>
          <w:lang w:val="en-US"/>
        </w:rPr>
        <w:t>n</w:t>
      </w:r>
      <w:r>
        <w:rPr>
          <w:color w:val="000000" w:themeColor="text1"/>
          <w:kern w:val="24"/>
          <w:lang w:val="en-US"/>
        </w:rPr>
        <w:t xml:space="preserve"> </w:t>
      </w:r>
      <w:r w:rsidR="004E56BC">
        <w:rPr>
          <w:color w:val="000000" w:themeColor="text1"/>
          <w:kern w:val="24"/>
          <w:lang w:val="en-US"/>
        </w:rPr>
        <w:t xml:space="preserve">is the current slot number within a system radio frame, </w:t>
      </w:r>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oMath>
      <w:r w:rsidR="004E56BC">
        <w:rPr>
          <w:color w:val="000000" w:themeColor="text1"/>
          <w:kern w:val="24"/>
          <w:lang w:val="en-US"/>
        </w:rPr>
        <w:t xml:space="preserve"> is the starting RB within the slot based on FDRA</w:t>
      </w:r>
      <w:r>
        <w:rPr>
          <w:color w:val="000000" w:themeColor="text1"/>
          <w:kern w:val="24"/>
          <w:lang w:val="en-US"/>
        </w:rPr>
        <w:t>.</w:t>
      </w:r>
    </w:p>
    <w:p w14:paraId="28010187" w14:textId="76688A4E" w:rsidR="00D34584" w:rsidRDefault="00D34584" w:rsidP="00D34584">
      <w:pPr>
        <w:spacing w:after="120" w:line="216" w:lineRule="auto"/>
        <w:contextualSpacing/>
        <w:jc w:val="both"/>
        <w:rPr>
          <w:color w:val="000000" w:themeColor="text1"/>
          <w:kern w:val="24"/>
          <w:lang w:val="en-US"/>
        </w:rPr>
      </w:pPr>
    </w:p>
    <w:p w14:paraId="4836F281" w14:textId="1E8FD9EE" w:rsidR="00D34584" w:rsidRDefault="00D34584" w:rsidP="00D34584">
      <w:pPr>
        <w:shd w:val="clear" w:color="auto" w:fill="FFFFFF"/>
        <w:spacing w:after="120"/>
        <w:jc w:val="both"/>
        <w:rPr>
          <w:b/>
          <w:bCs/>
          <w:i/>
          <w:iCs/>
        </w:rPr>
      </w:pPr>
      <w:bookmarkStart w:id="30" w:name="_Ref111210734"/>
      <w:r>
        <w:rPr>
          <w:b/>
          <w:bCs/>
          <w:i/>
          <w:iCs/>
        </w:rPr>
        <w:lastRenderedPageBreak/>
        <w:t xml:space="preserve">Observation </w:t>
      </w:r>
      <w:r>
        <w:rPr>
          <w:b/>
          <w:bCs/>
          <w:i/>
          <w:iCs/>
        </w:rPr>
        <w:fldChar w:fldCharType="begin"/>
      </w:r>
      <w:r>
        <w:rPr>
          <w:b/>
          <w:bCs/>
          <w:i/>
          <w:iCs/>
        </w:rPr>
        <w:instrText xml:space="preserve"> SEQ Observation \* ARABIC </w:instrText>
      </w:r>
      <w:r>
        <w:rPr>
          <w:b/>
          <w:bCs/>
          <w:i/>
          <w:iCs/>
        </w:rPr>
        <w:fldChar w:fldCharType="separate"/>
      </w:r>
      <w:r w:rsidR="00D17601">
        <w:rPr>
          <w:b/>
          <w:bCs/>
          <w:i/>
          <w:iCs/>
          <w:noProof/>
        </w:rPr>
        <w:t>9</w:t>
      </w:r>
      <w:r>
        <w:rPr>
          <w:b/>
          <w:bCs/>
          <w:i/>
          <w:iCs/>
        </w:rPr>
        <w:fldChar w:fldCharType="end"/>
      </w:r>
      <w:r>
        <w:rPr>
          <w:b/>
          <w:bCs/>
          <w:i/>
          <w:iCs/>
        </w:rPr>
        <w:t xml:space="preserve">: </w:t>
      </w:r>
      <w:r w:rsidRPr="00D34584">
        <w:rPr>
          <w:b/>
          <w:bCs/>
          <w:i/>
          <w:iCs/>
          <w:lang w:eastAsia="en-GB"/>
        </w:rPr>
        <w:t>When frequency hopping is enabled for SBFD, the resource allocation with frequency hopping offset applied may not be confined within the UL subband of a SBFD partitioned slot</w:t>
      </w:r>
      <w:r>
        <w:rPr>
          <w:b/>
          <w:bCs/>
          <w:i/>
          <w:iCs/>
        </w:rPr>
        <w:t>.</w:t>
      </w:r>
      <w:bookmarkEnd w:id="30"/>
    </w:p>
    <w:p w14:paraId="7F022031" w14:textId="5249B334" w:rsidR="00D34584" w:rsidRDefault="00D34584" w:rsidP="00D34584">
      <w:pPr>
        <w:shd w:val="clear" w:color="auto" w:fill="FFFFFF"/>
        <w:spacing w:after="120"/>
        <w:jc w:val="both"/>
        <w:rPr>
          <w:b/>
          <w:bCs/>
          <w:i/>
          <w:iCs/>
        </w:rPr>
      </w:pPr>
      <w:bookmarkStart w:id="31" w:name="_Ref111210895"/>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D17601">
        <w:rPr>
          <w:b/>
          <w:bCs/>
          <w:i/>
          <w:iCs/>
          <w:noProof/>
        </w:rPr>
        <w:t>9</w:t>
      </w:r>
      <w:r>
        <w:rPr>
          <w:b/>
          <w:bCs/>
          <w:i/>
          <w:iCs/>
        </w:rPr>
        <w:fldChar w:fldCharType="end"/>
      </w:r>
      <w:r>
        <w:rPr>
          <w:b/>
          <w:bCs/>
          <w:i/>
          <w:iCs/>
        </w:rPr>
        <w:t>:</w:t>
      </w:r>
      <w:r>
        <w:rPr>
          <w:b/>
          <w:bCs/>
          <w:i/>
          <w:iCs/>
          <w:lang w:eastAsia="en-GB"/>
        </w:rPr>
        <w:t xml:space="preserve"> </w:t>
      </w:r>
      <w:r w:rsidRPr="00D34584">
        <w:rPr>
          <w:b/>
          <w:bCs/>
          <w:i/>
          <w:iCs/>
          <w:lang w:eastAsia="en-GB"/>
        </w:rPr>
        <w:t>Modify the frequency hopping procedure for intra-slot</w:t>
      </w:r>
      <w:r>
        <w:rPr>
          <w:b/>
          <w:bCs/>
          <w:i/>
          <w:iCs/>
          <w:lang w:eastAsia="en-GB"/>
        </w:rPr>
        <w:t xml:space="preserve"> and inter-slot</w:t>
      </w:r>
      <w:r w:rsidRPr="00D34584">
        <w:rPr>
          <w:b/>
          <w:bCs/>
          <w:i/>
          <w:iCs/>
          <w:lang w:eastAsia="en-GB"/>
        </w:rPr>
        <w:t xml:space="preserve"> frequency hopping to enable frequency hopping that is confined within the UL-SB in the SBFD slots</w:t>
      </w:r>
      <w:r>
        <w:rPr>
          <w:b/>
          <w:bCs/>
          <w:i/>
          <w:iCs/>
        </w:rPr>
        <w:t>.</w:t>
      </w:r>
      <w:bookmarkEnd w:id="31"/>
    </w:p>
    <w:p w14:paraId="44727F9E" w14:textId="2F27F759" w:rsidR="00D34584" w:rsidRPr="005A57CB" w:rsidRDefault="00D34584" w:rsidP="005A57CB">
      <w:pPr>
        <w:shd w:val="clear" w:color="auto" w:fill="FFFFFF"/>
        <w:spacing w:after="120"/>
        <w:jc w:val="both"/>
        <w:rPr>
          <w:b/>
          <w:bCs/>
          <w:i/>
          <w:iCs/>
        </w:rPr>
      </w:pPr>
      <w:bookmarkStart w:id="32" w:name="_Ref111210896"/>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D17601">
        <w:rPr>
          <w:b/>
          <w:bCs/>
          <w:i/>
          <w:iCs/>
          <w:noProof/>
        </w:rPr>
        <w:t>10</w:t>
      </w:r>
      <w:r>
        <w:rPr>
          <w:b/>
          <w:bCs/>
          <w:i/>
          <w:iCs/>
        </w:rPr>
        <w:fldChar w:fldCharType="end"/>
      </w:r>
      <w:r>
        <w:rPr>
          <w:b/>
          <w:bCs/>
          <w:i/>
          <w:iCs/>
        </w:rPr>
        <w:t>:</w:t>
      </w:r>
      <w:r>
        <w:rPr>
          <w:b/>
          <w:bCs/>
          <w:i/>
          <w:iCs/>
          <w:lang w:eastAsia="en-GB"/>
        </w:rPr>
        <w:t xml:space="preserve"> </w:t>
      </w:r>
      <w:r w:rsidR="005A57CB" w:rsidRPr="005A57CB">
        <w:rPr>
          <w:b/>
          <w:bCs/>
          <w:i/>
          <w:iCs/>
          <w:lang w:eastAsia="en-GB"/>
        </w:rPr>
        <w:t>Support frequency hopping in the UL-only slots for inter-slot frequency hopping</w:t>
      </w:r>
      <w:r>
        <w:rPr>
          <w:b/>
          <w:bCs/>
          <w:i/>
          <w:iCs/>
        </w:rPr>
        <w:t>.</w:t>
      </w:r>
      <w:bookmarkEnd w:id="32"/>
    </w:p>
    <w:p w14:paraId="23073223" w14:textId="76119A17" w:rsidR="006142B8" w:rsidRPr="006142B8" w:rsidRDefault="006142B8" w:rsidP="006142B8">
      <w:pPr>
        <w:pStyle w:val="Heading2"/>
      </w:pPr>
      <w:r>
        <w:t>UE-UE CLI m</w:t>
      </w:r>
      <w:r w:rsidR="00BE50AE">
        <w:t>easurement</w:t>
      </w:r>
    </w:p>
    <w:p w14:paraId="4C773363" w14:textId="0968984D" w:rsidR="006142B8" w:rsidRPr="006142B8" w:rsidRDefault="001F1B7C" w:rsidP="006142B8">
      <w:pPr>
        <w:pStyle w:val="Heading3"/>
        <w:rPr>
          <w:rFonts w:eastAsia="Times New Roman"/>
          <w:lang w:eastAsia="da-DK"/>
        </w:rPr>
      </w:pPr>
      <w:r>
        <w:rPr>
          <w:rFonts w:eastAsia="Times New Roman"/>
          <w:lang w:eastAsia="da-DK"/>
        </w:rPr>
        <w:t xml:space="preserve">Inter-subband UE-UE CLI measurements  </w:t>
      </w:r>
    </w:p>
    <w:p w14:paraId="6679E480" w14:textId="69D5A8FE" w:rsidR="00FA7CEE" w:rsidRPr="00D831DA" w:rsidRDefault="002D08BC" w:rsidP="00B24276">
      <w:pPr>
        <w:overflowPunct/>
        <w:autoSpaceDE/>
        <w:autoSpaceDN/>
        <w:adjustRightInd/>
        <w:spacing w:after="120"/>
        <w:jc w:val="both"/>
        <w:textAlignment w:val="center"/>
        <w:rPr>
          <w:rFonts w:eastAsia="Times New Roman"/>
          <w:lang w:eastAsia="da-DK"/>
        </w:rPr>
      </w:pPr>
      <w:r>
        <w:rPr>
          <w:rFonts w:eastAsia="Times New Roman"/>
          <w:lang w:eastAsia="da-DK"/>
        </w:rPr>
        <w:t xml:space="preserve">In </w:t>
      </w:r>
      <w:r w:rsidR="00BE50AE" w:rsidRPr="00834F2D">
        <w:rPr>
          <w:rFonts w:eastAsia="Times New Roman"/>
          <w:lang w:eastAsia="da-DK"/>
        </w:rPr>
        <w:t xml:space="preserve">R16 SRS-RSRP measurements </w:t>
      </w:r>
      <w:r>
        <w:rPr>
          <w:rFonts w:eastAsia="Times New Roman"/>
          <w:lang w:eastAsia="da-DK"/>
        </w:rPr>
        <w:t>w</w:t>
      </w:r>
      <w:r w:rsidR="00E927FA">
        <w:rPr>
          <w:rFonts w:eastAsia="Times New Roman"/>
          <w:lang w:eastAsia="da-DK"/>
        </w:rPr>
        <w:t>as</w:t>
      </w:r>
      <w:r w:rsidR="00BE50AE" w:rsidRPr="00834F2D">
        <w:rPr>
          <w:rFonts w:eastAsia="Times New Roman"/>
          <w:lang w:eastAsia="da-DK"/>
        </w:rPr>
        <w:t xml:space="preserve"> introduced to assess the </w:t>
      </w:r>
      <w:r w:rsidR="00785EFE">
        <w:rPr>
          <w:rFonts w:eastAsia="Times New Roman"/>
          <w:lang w:eastAsia="da-DK"/>
        </w:rPr>
        <w:t xml:space="preserve">inter-cell, </w:t>
      </w:r>
      <w:r w:rsidR="00BE50AE" w:rsidRPr="00834F2D">
        <w:rPr>
          <w:rFonts w:eastAsia="Times New Roman"/>
          <w:lang w:eastAsia="da-DK"/>
        </w:rPr>
        <w:t>co-channel (i.e., intra-subband) UE-UE CLI</w:t>
      </w:r>
      <w:r w:rsidR="00E927FA">
        <w:rPr>
          <w:rFonts w:eastAsia="Times New Roman"/>
          <w:lang w:eastAsia="da-DK"/>
        </w:rPr>
        <w:t xml:space="preserve"> from non-synchronized TDD</w:t>
      </w:r>
      <w:r w:rsidR="00834F2D" w:rsidRPr="00834F2D">
        <w:rPr>
          <w:rFonts w:eastAsia="Times New Roman"/>
          <w:lang w:eastAsia="da-DK"/>
        </w:rPr>
        <w:t>. In SBFD</w:t>
      </w:r>
      <w:r>
        <w:rPr>
          <w:rFonts w:eastAsia="Times New Roman"/>
          <w:lang w:eastAsia="da-DK"/>
        </w:rPr>
        <w:t>, on the other hand</w:t>
      </w:r>
      <w:r w:rsidR="00834F2D" w:rsidRPr="00834F2D">
        <w:rPr>
          <w:rFonts w:eastAsia="Times New Roman"/>
          <w:lang w:eastAsia="da-DK"/>
        </w:rPr>
        <w:t xml:space="preserve">, the adjacent sub-band </w:t>
      </w:r>
      <w:r w:rsidR="00785EFE">
        <w:rPr>
          <w:rFonts w:eastAsia="Times New Roman"/>
          <w:lang w:eastAsia="da-DK"/>
        </w:rPr>
        <w:t xml:space="preserve">intra-cell </w:t>
      </w:r>
      <w:r w:rsidR="00834F2D" w:rsidRPr="00834F2D">
        <w:rPr>
          <w:rFonts w:eastAsia="Times New Roman"/>
          <w:lang w:eastAsia="da-DK"/>
        </w:rPr>
        <w:t>aggressor</w:t>
      </w:r>
      <w:r w:rsidR="00785EFE">
        <w:rPr>
          <w:rFonts w:eastAsia="Times New Roman"/>
          <w:lang w:eastAsia="da-DK"/>
        </w:rPr>
        <w:t xml:space="preserve"> candidates</w:t>
      </w:r>
      <w:r w:rsidR="00834F2D" w:rsidRPr="00834F2D">
        <w:rPr>
          <w:rFonts w:eastAsia="Times New Roman"/>
          <w:lang w:eastAsia="da-DK"/>
        </w:rPr>
        <w:t xml:space="preserve"> need to be </w:t>
      </w:r>
      <w:r w:rsidR="00FA7CEE">
        <w:rPr>
          <w:rFonts w:eastAsia="Times New Roman"/>
          <w:lang w:eastAsia="da-DK"/>
        </w:rPr>
        <w:t>compared</w:t>
      </w:r>
      <w:r w:rsidR="00BB213A">
        <w:rPr>
          <w:rFonts w:eastAsia="Times New Roman"/>
          <w:lang w:eastAsia="da-DK"/>
        </w:rPr>
        <w:t>, too</w:t>
      </w:r>
      <w:r w:rsidR="0059016A">
        <w:rPr>
          <w:rFonts w:eastAsia="Times New Roman"/>
          <w:lang w:eastAsia="da-DK"/>
        </w:rPr>
        <w:t xml:space="preserve">. </w:t>
      </w:r>
      <w:r w:rsidR="000E4681">
        <w:rPr>
          <w:rFonts w:eastAsia="Times New Roman"/>
          <w:lang w:eastAsia="da-DK"/>
        </w:rPr>
        <w:t>Although t</w:t>
      </w:r>
      <w:r w:rsidR="0059016A">
        <w:rPr>
          <w:rFonts w:eastAsia="Times New Roman"/>
          <w:lang w:eastAsia="da-DK"/>
        </w:rPr>
        <w:t>he</w:t>
      </w:r>
      <w:r w:rsidR="00FA7CEE">
        <w:rPr>
          <w:rFonts w:eastAsia="Times New Roman"/>
          <w:lang w:eastAsia="da-DK"/>
        </w:rPr>
        <w:t xml:space="preserve"> </w:t>
      </w:r>
      <w:r w:rsidR="00FA7CEE" w:rsidRPr="00FA7CEE">
        <w:rPr>
          <w:rFonts w:eastAsia="Times New Roman"/>
          <w:lang w:eastAsia="da-DK"/>
        </w:rPr>
        <w:t xml:space="preserve">interference power leaking into the victim’s subband </w:t>
      </w:r>
      <w:r w:rsidR="0059016A">
        <w:rPr>
          <w:rFonts w:eastAsia="Times New Roman"/>
          <w:lang w:eastAsia="da-DK"/>
        </w:rPr>
        <w:t>cannot be measured directly by this method, but</w:t>
      </w:r>
      <w:r w:rsidR="000E4681">
        <w:rPr>
          <w:rFonts w:eastAsia="Times New Roman"/>
          <w:lang w:eastAsia="da-DK"/>
        </w:rPr>
        <w:t xml:space="preserve"> for ranking </w:t>
      </w:r>
      <w:r w:rsidR="00BB213A">
        <w:rPr>
          <w:rFonts w:eastAsia="Times New Roman"/>
          <w:lang w:eastAsia="da-DK"/>
        </w:rPr>
        <w:t xml:space="preserve">aggressors </w:t>
      </w:r>
      <w:r w:rsidR="000E4681">
        <w:rPr>
          <w:rFonts w:eastAsia="Times New Roman"/>
          <w:lang w:eastAsia="da-DK"/>
        </w:rPr>
        <w:t xml:space="preserve">this might not be required. By </w:t>
      </w:r>
      <w:r w:rsidR="00FB4E42">
        <w:rPr>
          <w:rFonts w:eastAsia="Times New Roman"/>
          <w:lang w:eastAsia="da-DK"/>
        </w:rPr>
        <w:t>avoiding</w:t>
      </w:r>
      <w:r w:rsidR="001416C7">
        <w:rPr>
          <w:rFonts w:eastAsia="Times New Roman"/>
          <w:lang w:eastAsia="da-DK"/>
        </w:rPr>
        <w:t xml:space="preserve"> simultaneous scheduling with</w:t>
      </w:r>
      <w:r w:rsidR="000E4681">
        <w:rPr>
          <w:rFonts w:eastAsia="Times New Roman"/>
          <w:lang w:eastAsia="da-DK"/>
        </w:rPr>
        <w:t xml:space="preserve"> the wors</w:t>
      </w:r>
      <w:r w:rsidR="001416C7">
        <w:rPr>
          <w:rFonts w:eastAsia="Times New Roman"/>
          <w:lang w:eastAsia="da-DK"/>
        </w:rPr>
        <w:t>t UE aggressor candidates,</w:t>
      </w:r>
      <w:r w:rsidR="000E4681">
        <w:rPr>
          <w:rFonts w:eastAsia="Times New Roman"/>
          <w:lang w:eastAsia="da-DK"/>
        </w:rPr>
        <w:t xml:space="preserve"> </w:t>
      </w:r>
      <w:r w:rsidR="00FA7CEE">
        <w:rPr>
          <w:rFonts w:eastAsia="Times New Roman"/>
          <w:lang w:eastAsia="da-DK"/>
        </w:rPr>
        <w:t xml:space="preserve">co-channel </w:t>
      </w:r>
      <w:r w:rsidR="00785EFE">
        <w:rPr>
          <w:rFonts w:eastAsia="Times New Roman"/>
          <w:lang w:eastAsia="da-DK"/>
        </w:rPr>
        <w:t>(</w:t>
      </w:r>
      <w:r w:rsidR="00FB4E42">
        <w:rPr>
          <w:rFonts w:eastAsia="Times New Roman"/>
          <w:lang w:eastAsia="da-DK"/>
        </w:rPr>
        <w:t>i.e.,</w:t>
      </w:r>
      <w:r w:rsidR="00785EFE">
        <w:rPr>
          <w:rFonts w:eastAsia="Times New Roman"/>
          <w:lang w:eastAsia="da-DK"/>
        </w:rPr>
        <w:t xml:space="preserve"> intra-subband) intercell interference (from aggressor BS</w:t>
      </w:r>
      <w:r w:rsidR="009C652F">
        <w:rPr>
          <w:rFonts w:eastAsia="Times New Roman"/>
          <w:lang w:eastAsia="da-DK"/>
        </w:rPr>
        <w:t xml:space="preserve"> – in the case of aligned SBFD layouts</w:t>
      </w:r>
      <w:r w:rsidR="00785EFE">
        <w:rPr>
          <w:rFonts w:eastAsia="Times New Roman"/>
          <w:lang w:eastAsia="da-DK"/>
        </w:rPr>
        <w:t>) will likely dominate.</w:t>
      </w:r>
      <w:r w:rsidR="00D831DA">
        <w:rPr>
          <w:rFonts w:eastAsia="Times New Roman"/>
          <w:lang w:eastAsia="da-DK"/>
        </w:rPr>
        <w:t xml:space="preserve"> </w:t>
      </w:r>
      <w:r w:rsidR="00DC7A91" w:rsidRPr="00D831DA">
        <w:rPr>
          <w:rFonts w:eastAsia="Times New Roman"/>
          <w:lang w:eastAsia="da-DK"/>
        </w:rPr>
        <w:t>If so</w:t>
      </w:r>
      <w:r w:rsidR="004A65B3" w:rsidRPr="00D831DA">
        <w:rPr>
          <w:rFonts w:eastAsia="Times New Roman"/>
          <w:lang w:eastAsia="da-DK"/>
        </w:rPr>
        <w:t>,</w:t>
      </w:r>
      <w:r w:rsidR="00DC7A91" w:rsidRPr="00D831DA">
        <w:rPr>
          <w:rFonts w:eastAsia="Times New Roman"/>
          <w:lang w:eastAsia="da-DK"/>
        </w:rPr>
        <w:t xml:space="preserve"> then measuring and comparing the SRS-RSRP of the </w:t>
      </w:r>
      <w:r w:rsidR="001416C7" w:rsidRPr="00D831DA">
        <w:rPr>
          <w:rFonts w:eastAsia="Times New Roman"/>
          <w:lang w:eastAsia="da-DK"/>
        </w:rPr>
        <w:t xml:space="preserve">adjacent subband </w:t>
      </w:r>
      <w:r w:rsidR="00DC7A91" w:rsidRPr="00D831DA">
        <w:rPr>
          <w:rFonts w:eastAsia="Times New Roman"/>
          <w:lang w:eastAsia="da-DK"/>
        </w:rPr>
        <w:t xml:space="preserve">aggressor candidates may be sufficient for UE-UE CLI-aware scheduling, without </w:t>
      </w:r>
      <w:r w:rsidR="002F3EC0" w:rsidRPr="00D831DA">
        <w:rPr>
          <w:rFonts w:eastAsia="Times New Roman"/>
          <w:lang w:eastAsia="da-DK"/>
        </w:rPr>
        <w:t xml:space="preserve">accurately </w:t>
      </w:r>
      <w:r w:rsidR="00DC7A91" w:rsidRPr="00D831DA">
        <w:rPr>
          <w:rFonts w:eastAsia="Times New Roman"/>
          <w:lang w:eastAsia="da-DK"/>
        </w:rPr>
        <w:t>estimating the leakage ratio into the victim’s DL subband.</w:t>
      </w:r>
    </w:p>
    <w:p w14:paraId="11FF12F2" w14:textId="3566685E" w:rsidR="0057322B" w:rsidRPr="00B24276" w:rsidRDefault="0057322B" w:rsidP="00B24276">
      <w:pPr>
        <w:overflowPunct/>
        <w:autoSpaceDE/>
        <w:autoSpaceDN/>
        <w:adjustRightInd/>
        <w:spacing w:after="120"/>
        <w:jc w:val="both"/>
        <w:textAlignment w:val="center"/>
        <w:rPr>
          <w:rFonts w:eastAsia="Times New Roman"/>
          <w:b/>
          <w:bCs/>
          <w:i/>
          <w:iCs/>
          <w:lang w:eastAsia="da-DK"/>
        </w:rPr>
      </w:pPr>
      <w:bookmarkStart w:id="33" w:name="_Ref111210898"/>
      <w:r w:rsidRPr="00B24276">
        <w:rPr>
          <w:rFonts w:eastAsia="Times New Roman"/>
          <w:b/>
          <w:bCs/>
          <w:i/>
          <w:iCs/>
          <w:lang w:eastAsia="da-DK"/>
        </w:rPr>
        <w:t>Proposal</w:t>
      </w:r>
      <w:r w:rsidR="00CA7488" w:rsidRPr="00B24276">
        <w:rPr>
          <w:rFonts w:eastAsia="Times New Roman"/>
          <w:b/>
          <w:bCs/>
          <w:i/>
          <w:iCs/>
          <w:lang w:eastAsia="da-DK"/>
        </w:rPr>
        <w:t xml:space="preserve"> </w:t>
      </w:r>
      <w:r w:rsidR="00CA7488" w:rsidRPr="00B24276">
        <w:rPr>
          <w:b/>
          <w:bCs/>
          <w:i/>
          <w:iCs/>
        </w:rPr>
        <w:fldChar w:fldCharType="begin"/>
      </w:r>
      <w:r w:rsidR="00CA7488" w:rsidRPr="00B24276">
        <w:rPr>
          <w:b/>
          <w:bCs/>
          <w:i/>
          <w:iCs/>
        </w:rPr>
        <w:instrText xml:space="preserve"> SEQ Proposal \* ARABIC </w:instrText>
      </w:r>
      <w:r w:rsidR="00CA7488" w:rsidRPr="00B24276">
        <w:rPr>
          <w:b/>
          <w:bCs/>
          <w:i/>
          <w:iCs/>
        </w:rPr>
        <w:fldChar w:fldCharType="separate"/>
      </w:r>
      <w:r w:rsidR="00D17601">
        <w:rPr>
          <w:b/>
          <w:bCs/>
          <w:i/>
          <w:iCs/>
          <w:noProof/>
        </w:rPr>
        <w:t>11</w:t>
      </w:r>
      <w:r w:rsidR="00CA7488" w:rsidRPr="00B24276">
        <w:rPr>
          <w:b/>
          <w:bCs/>
          <w:i/>
          <w:iCs/>
        </w:rPr>
        <w:fldChar w:fldCharType="end"/>
      </w:r>
      <w:r w:rsidRPr="00B24276">
        <w:rPr>
          <w:rFonts w:eastAsia="Times New Roman"/>
          <w:b/>
          <w:bCs/>
          <w:i/>
          <w:iCs/>
          <w:lang w:eastAsia="da-DK"/>
        </w:rPr>
        <w:t xml:space="preserve">: Study whether SRS-RSRP-based ranking of UE aggressor candidates is sufficient for </w:t>
      </w:r>
      <w:r w:rsidR="00BB213A" w:rsidRPr="00B24276">
        <w:rPr>
          <w:rFonts w:eastAsia="Times New Roman"/>
          <w:b/>
          <w:bCs/>
          <w:i/>
          <w:iCs/>
          <w:lang w:eastAsia="da-DK"/>
        </w:rPr>
        <w:t xml:space="preserve">the optimization of UL-DL </w:t>
      </w:r>
      <w:r w:rsidR="00737C18" w:rsidRPr="00B24276">
        <w:rPr>
          <w:rFonts w:eastAsia="Times New Roman"/>
          <w:b/>
          <w:bCs/>
          <w:i/>
          <w:iCs/>
          <w:lang w:eastAsia="da-DK"/>
        </w:rPr>
        <w:t>inter-subband</w:t>
      </w:r>
      <w:r w:rsidR="00BB213A" w:rsidRPr="00B24276">
        <w:rPr>
          <w:rFonts w:eastAsia="Times New Roman"/>
          <w:b/>
          <w:bCs/>
          <w:i/>
          <w:iCs/>
          <w:lang w:eastAsia="da-DK"/>
        </w:rPr>
        <w:t xml:space="preserve"> CLI</w:t>
      </w:r>
      <w:r w:rsidRPr="00B24276">
        <w:rPr>
          <w:rFonts w:eastAsia="Times New Roman"/>
          <w:b/>
          <w:bCs/>
          <w:i/>
          <w:iCs/>
          <w:lang w:eastAsia="da-DK"/>
        </w:rPr>
        <w:t>.</w:t>
      </w:r>
      <w:bookmarkEnd w:id="33"/>
    </w:p>
    <w:p w14:paraId="24F32A70" w14:textId="7663373E" w:rsidR="00D06D84" w:rsidRDefault="002461BC" w:rsidP="00B24276">
      <w:pPr>
        <w:overflowPunct/>
        <w:autoSpaceDE/>
        <w:autoSpaceDN/>
        <w:adjustRightInd/>
        <w:spacing w:after="120"/>
        <w:jc w:val="both"/>
        <w:textAlignment w:val="center"/>
        <w:rPr>
          <w:rFonts w:eastAsia="Times New Roman"/>
          <w:lang w:eastAsia="da-DK"/>
        </w:rPr>
      </w:pPr>
      <w:r>
        <w:rPr>
          <w:rFonts w:eastAsia="Times New Roman"/>
          <w:lang w:eastAsia="da-DK"/>
        </w:rPr>
        <w:t>Alternatively, t</w:t>
      </w:r>
      <w:r w:rsidR="00DC7A91">
        <w:rPr>
          <w:rFonts w:eastAsia="Times New Roman"/>
          <w:lang w:eastAsia="da-DK"/>
        </w:rPr>
        <w:t xml:space="preserve">o </w:t>
      </w:r>
      <w:r>
        <w:rPr>
          <w:rFonts w:eastAsia="Times New Roman"/>
          <w:lang w:eastAsia="da-DK"/>
        </w:rPr>
        <w:t>assess</w:t>
      </w:r>
      <w:r w:rsidR="00DC7A91">
        <w:rPr>
          <w:rFonts w:eastAsia="Times New Roman"/>
          <w:lang w:eastAsia="da-DK"/>
        </w:rPr>
        <w:t xml:space="preserve"> </w:t>
      </w:r>
      <w:r w:rsidR="003115D7">
        <w:rPr>
          <w:rFonts w:eastAsia="Times New Roman"/>
          <w:lang w:eastAsia="da-DK"/>
        </w:rPr>
        <w:t>the interference power</w:t>
      </w:r>
      <w:r w:rsidR="00DC7A91">
        <w:rPr>
          <w:rFonts w:eastAsia="Times New Roman"/>
          <w:lang w:eastAsia="da-DK"/>
        </w:rPr>
        <w:t xml:space="preserve"> </w:t>
      </w:r>
      <w:r w:rsidR="00D06D84">
        <w:rPr>
          <w:rFonts w:eastAsia="Times New Roman"/>
          <w:lang w:eastAsia="da-DK"/>
        </w:rPr>
        <w:t xml:space="preserve">that </w:t>
      </w:r>
      <w:r w:rsidR="002F3EC0">
        <w:rPr>
          <w:rFonts w:eastAsia="Times New Roman"/>
          <w:lang w:eastAsia="da-DK"/>
        </w:rPr>
        <w:t>effectively leak</w:t>
      </w:r>
      <w:r w:rsidR="00D06D84">
        <w:rPr>
          <w:rFonts w:eastAsia="Times New Roman"/>
          <w:lang w:eastAsia="da-DK"/>
        </w:rPr>
        <w:t>s</w:t>
      </w:r>
      <w:r w:rsidR="002F3EC0">
        <w:rPr>
          <w:rFonts w:eastAsia="Times New Roman"/>
          <w:lang w:eastAsia="da-DK"/>
        </w:rPr>
        <w:t xml:space="preserve"> into the victim UE’s DL </w:t>
      </w:r>
      <w:r w:rsidR="00D06D84">
        <w:rPr>
          <w:rFonts w:eastAsia="Times New Roman"/>
          <w:lang w:eastAsia="da-DK"/>
        </w:rPr>
        <w:t>reception</w:t>
      </w:r>
      <w:r>
        <w:rPr>
          <w:rFonts w:eastAsia="Times New Roman"/>
          <w:lang w:eastAsia="da-DK"/>
        </w:rPr>
        <w:t xml:space="preserve">, the victim UE could measure </w:t>
      </w:r>
      <w:r w:rsidRPr="002461BC">
        <w:rPr>
          <w:rFonts w:eastAsia="Times New Roman"/>
          <w:lang w:eastAsia="da-DK"/>
        </w:rPr>
        <w:t>CLI-RSSI</w:t>
      </w:r>
      <w:r>
        <w:rPr>
          <w:rFonts w:eastAsia="Times New Roman"/>
          <w:lang w:eastAsia="da-DK"/>
        </w:rPr>
        <w:t xml:space="preserve"> in its downlink subband.</w:t>
      </w:r>
      <w:r w:rsidRPr="002461BC">
        <w:rPr>
          <w:rFonts w:eastAsia="Times New Roman"/>
          <w:lang w:eastAsia="da-DK"/>
        </w:rPr>
        <w:t xml:space="preserve"> </w:t>
      </w:r>
      <w:r w:rsidR="00345D69">
        <w:rPr>
          <w:rFonts w:eastAsia="Times New Roman"/>
          <w:lang w:eastAsia="da-DK"/>
        </w:rPr>
        <w:t>Based on the reported</w:t>
      </w:r>
      <w:r w:rsidR="00DE5105">
        <w:rPr>
          <w:rFonts w:eastAsia="Times New Roman"/>
          <w:lang w:eastAsia="da-DK"/>
        </w:rPr>
        <w:t xml:space="preserve"> CLI-RSSI </w:t>
      </w:r>
      <w:r w:rsidR="00D06D84">
        <w:rPr>
          <w:rFonts w:eastAsia="Times New Roman"/>
          <w:lang w:eastAsia="da-DK"/>
        </w:rPr>
        <w:t>the scheduler may not be able to discriminate between</w:t>
      </w:r>
      <w:r w:rsidR="00DE5105">
        <w:rPr>
          <w:rFonts w:eastAsia="Times New Roman"/>
          <w:lang w:eastAsia="da-DK"/>
        </w:rPr>
        <w:t xml:space="preserve"> the inter-subband </w:t>
      </w:r>
      <w:r w:rsidR="00B77CAB">
        <w:rPr>
          <w:rFonts w:eastAsia="Times New Roman"/>
          <w:lang w:eastAsia="da-DK"/>
        </w:rPr>
        <w:t xml:space="preserve">cross-link </w:t>
      </w:r>
      <w:r w:rsidR="00DE5105">
        <w:rPr>
          <w:rFonts w:eastAsia="Times New Roman"/>
          <w:lang w:eastAsia="da-DK"/>
        </w:rPr>
        <w:t>interfere</w:t>
      </w:r>
      <w:r>
        <w:rPr>
          <w:rFonts w:eastAsia="Times New Roman"/>
          <w:lang w:eastAsia="da-DK"/>
        </w:rPr>
        <w:t>nce</w:t>
      </w:r>
      <w:r w:rsidR="00DE5105">
        <w:rPr>
          <w:rFonts w:eastAsia="Times New Roman"/>
          <w:lang w:eastAsia="da-DK"/>
        </w:rPr>
        <w:t xml:space="preserve">(s) </w:t>
      </w:r>
      <w:r w:rsidR="00D06D84">
        <w:rPr>
          <w:rFonts w:eastAsia="Times New Roman"/>
          <w:lang w:eastAsia="da-DK"/>
        </w:rPr>
        <w:t xml:space="preserve">and </w:t>
      </w:r>
      <w:r w:rsidR="00D06D84" w:rsidRPr="00D06D84">
        <w:rPr>
          <w:rFonts w:eastAsia="Times New Roman"/>
          <w:lang w:eastAsia="da-DK"/>
        </w:rPr>
        <w:t>the intra-subband inter-cell interfere</w:t>
      </w:r>
      <w:r>
        <w:rPr>
          <w:rFonts w:eastAsia="Times New Roman"/>
          <w:lang w:eastAsia="da-DK"/>
        </w:rPr>
        <w:t>nce</w:t>
      </w:r>
      <w:r w:rsidR="00D06D84" w:rsidRPr="00D06D84">
        <w:rPr>
          <w:rFonts w:eastAsia="Times New Roman"/>
          <w:lang w:eastAsia="da-DK"/>
        </w:rPr>
        <w:t xml:space="preserve"> (DL-DL or UL-DL)</w:t>
      </w:r>
      <w:r w:rsidR="00345D69">
        <w:rPr>
          <w:rFonts w:eastAsia="Times New Roman"/>
          <w:lang w:eastAsia="da-DK"/>
        </w:rPr>
        <w:t xml:space="preserve">, unless </w:t>
      </w:r>
      <w:r w:rsidR="00D831DA">
        <w:rPr>
          <w:rFonts w:eastAsia="Times New Roman"/>
          <w:lang w:eastAsia="da-DK"/>
        </w:rPr>
        <w:t>e.g.,</w:t>
      </w:r>
      <w:r w:rsidR="0088137C">
        <w:rPr>
          <w:rFonts w:eastAsia="Times New Roman"/>
          <w:lang w:eastAsia="da-DK"/>
        </w:rPr>
        <w:t xml:space="preserve"> </w:t>
      </w:r>
      <w:r w:rsidR="00345D69">
        <w:rPr>
          <w:rFonts w:eastAsia="Times New Roman"/>
          <w:lang w:eastAsia="da-DK"/>
        </w:rPr>
        <w:t xml:space="preserve">the latter </w:t>
      </w:r>
      <w:r w:rsidR="000F3FE4">
        <w:rPr>
          <w:rFonts w:eastAsia="Times New Roman"/>
          <w:lang w:eastAsia="da-DK"/>
        </w:rPr>
        <w:t>is</w:t>
      </w:r>
      <w:r w:rsidR="00345D69">
        <w:rPr>
          <w:rFonts w:eastAsia="Times New Roman"/>
          <w:lang w:eastAsia="da-DK"/>
        </w:rPr>
        <w:t xml:space="preserve"> muted</w:t>
      </w:r>
      <w:r w:rsidR="00D06D84">
        <w:rPr>
          <w:rFonts w:eastAsia="Times New Roman"/>
          <w:lang w:eastAsia="da-DK"/>
        </w:rPr>
        <w:t>.</w:t>
      </w:r>
      <w:r w:rsidR="009A4419">
        <w:rPr>
          <w:rFonts w:eastAsia="Times New Roman"/>
          <w:lang w:eastAsia="da-DK"/>
        </w:rPr>
        <w:t xml:space="preserve"> </w:t>
      </w:r>
      <w:r w:rsidR="00F03C0E" w:rsidRPr="00F03C0E">
        <w:rPr>
          <w:rFonts w:eastAsia="Times New Roman"/>
          <w:i/>
          <w:iCs/>
          <w:lang w:eastAsia="da-DK"/>
        </w:rPr>
        <w:t>RRC IE RateMatchPattern</w:t>
      </w:r>
      <w:r w:rsidR="00F03C0E">
        <w:rPr>
          <w:rFonts w:eastAsia="Times New Roman"/>
          <w:lang w:eastAsia="da-DK"/>
        </w:rPr>
        <w:t xml:space="preserve"> may be used for RB-level PDSCH muting purposes.</w:t>
      </w:r>
      <w:r w:rsidR="000F3FE4">
        <w:rPr>
          <w:rFonts w:eastAsia="Times New Roman"/>
          <w:lang w:eastAsia="da-DK"/>
        </w:rPr>
        <w:t xml:space="preserve"> </w:t>
      </w:r>
      <w:r w:rsidR="00345D69">
        <w:rPr>
          <w:rFonts w:eastAsia="Times New Roman"/>
          <w:lang w:eastAsia="da-DK"/>
        </w:rPr>
        <w:t xml:space="preserve"> </w:t>
      </w:r>
      <w:r w:rsidR="00D06D84">
        <w:rPr>
          <w:rFonts w:eastAsia="Times New Roman"/>
          <w:lang w:eastAsia="da-DK"/>
        </w:rPr>
        <w:t xml:space="preserve"> </w:t>
      </w:r>
    </w:p>
    <w:p w14:paraId="1F57F6C3" w14:textId="61C68153" w:rsidR="0057322B" w:rsidRDefault="006142B8" w:rsidP="00B24276">
      <w:pPr>
        <w:overflowPunct/>
        <w:autoSpaceDE/>
        <w:autoSpaceDN/>
        <w:adjustRightInd/>
        <w:spacing w:after="120"/>
        <w:jc w:val="both"/>
        <w:textAlignment w:val="center"/>
        <w:rPr>
          <w:rFonts w:eastAsia="Times New Roman"/>
          <w:lang w:eastAsia="da-DK"/>
        </w:rPr>
      </w:pPr>
      <w:r>
        <w:rPr>
          <w:rFonts w:eastAsia="Times New Roman"/>
          <w:lang w:eastAsia="da-DK"/>
        </w:rPr>
        <w:t xml:space="preserve">Furthermore, the adjacent subband interference ratio can also be </w:t>
      </w:r>
      <w:r w:rsidR="007C500F">
        <w:rPr>
          <w:rFonts w:eastAsia="Times New Roman"/>
          <w:lang w:eastAsia="da-DK"/>
        </w:rPr>
        <w:t xml:space="preserve">estimated if </w:t>
      </w:r>
      <w:r>
        <w:rPr>
          <w:rFonts w:eastAsia="Times New Roman"/>
          <w:lang w:eastAsia="da-DK"/>
        </w:rPr>
        <w:t xml:space="preserve">CLI-RSSI </w:t>
      </w:r>
      <w:r w:rsidR="007C500F">
        <w:rPr>
          <w:rFonts w:eastAsia="Times New Roman"/>
          <w:lang w:eastAsia="da-DK"/>
        </w:rPr>
        <w:t xml:space="preserve">can be measured in both the </w:t>
      </w:r>
      <w:r w:rsidR="00B779C7">
        <w:rPr>
          <w:rFonts w:eastAsia="Times New Roman"/>
          <w:lang w:eastAsia="da-DK"/>
        </w:rPr>
        <w:t>aggressor’s</w:t>
      </w:r>
      <w:r w:rsidR="007C500F">
        <w:rPr>
          <w:rFonts w:eastAsia="Times New Roman"/>
          <w:lang w:eastAsia="da-DK"/>
        </w:rPr>
        <w:t xml:space="preserve"> subband and the </w:t>
      </w:r>
      <w:r w:rsidR="00B779C7">
        <w:rPr>
          <w:rFonts w:eastAsia="Times New Roman"/>
          <w:lang w:eastAsia="da-DK"/>
        </w:rPr>
        <w:t>victim’s</w:t>
      </w:r>
      <w:r w:rsidR="007C500F">
        <w:rPr>
          <w:rFonts w:eastAsia="Times New Roman"/>
          <w:lang w:eastAsia="da-DK"/>
        </w:rPr>
        <w:t xml:space="preserve"> subband while inter-cell interference is muted in both s</w:t>
      </w:r>
      <w:r w:rsidR="00F03C0E">
        <w:rPr>
          <w:rFonts w:eastAsia="Times New Roman"/>
          <w:lang w:eastAsia="da-DK"/>
        </w:rPr>
        <w:t>ubbands during the measurement.</w:t>
      </w:r>
      <w:r>
        <w:rPr>
          <w:rFonts w:eastAsia="Times New Roman"/>
          <w:lang w:eastAsia="da-DK"/>
        </w:rPr>
        <w:t xml:space="preserve"> </w:t>
      </w:r>
      <w:r w:rsidR="002461BC">
        <w:rPr>
          <w:rFonts w:eastAsia="Times New Roman"/>
          <w:lang w:eastAsia="da-DK"/>
        </w:rPr>
        <w:t>Yet, t</w:t>
      </w:r>
      <w:r w:rsidR="00F03C0E">
        <w:rPr>
          <w:rFonts w:eastAsia="Times New Roman"/>
          <w:lang w:eastAsia="da-DK"/>
        </w:rPr>
        <w:t>his ratio may or may not be necessary</w:t>
      </w:r>
      <w:r w:rsidR="000E1325">
        <w:rPr>
          <w:rFonts w:eastAsia="Times New Roman"/>
          <w:lang w:eastAsia="da-DK"/>
        </w:rPr>
        <w:t xml:space="preserve"> (</w:t>
      </w:r>
      <w:r w:rsidR="00D831DA">
        <w:rPr>
          <w:rFonts w:eastAsia="Times New Roman"/>
          <w:lang w:eastAsia="da-DK"/>
        </w:rPr>
        <w:t>e.g.,</w:t>
      </w:r>
      <w:r w:rsidR="000E1325">
        <w:rPr>
          <w:rFonts w:eastAsia="Times New Roman"/>
          <w:lang w:eastAsia="da-DK"/>
        </w:rPr>
        <w:t xml:space="preserve"> to offset reported SRS-RSRP values)</w:t>
      </w:r>
      <w:r w:rsidR="00F03C0E">
        <w:rPr>
          <w:rFonts w:eastAsia="Times New Roman"/>
          <w:lang w:eastAsia="da-DK"/>
        </w:rPr>
        <w:t xml:space="preserve"> for the scheduling based on the circumstances. </w:t>
      </w:r>
    </w:p>
    <w:p w14:paraId="7C40BA87" w14:textId="68DA3046" w:rsidR="00BE50AE" w:rsidRPr="00B24276" w:rsidRDefault="00BE50AE" w:rsidP="00B24276">
      <w:pPr>
        <w:overflowPunct/>
        <w:autoSpaceDE/>
        <w:autoSpaceDN/>
        <w:adjustRightInd/>
        <w:spacing w:after="120"/>
        <w:jc w:val="both"/>
        <w:textAlignment w:val="center"/>
        <w:rPr>
          <w:rFonts w:eastAsia="Times New Roman"/>
          <w:b/>
          <w:bCs/>
          <w:i/>
          <w:iCs/>
          <w:lang w:eastAsia="da-DK"/>
        </w:rPr>
      </w:pPr>
      <w:bookmarkStart w:id="34" w:name="_Ref111210902"/>
      <w:r w:rsidRPr="00B24276">
        <w:rPr>
          <w:rFonts w:eastAsia="Times New Roman"/>
          <w:b/>
          <w:bCs/>
          <w:i/>
          <w:iCs/>
          <w:lang w:eastAsia="da-DK"/>
        </w:rPr>
        <w:t>Proposal</w:t>
      </w:r>
      <w:r w:rsidR="00CA7488" w:rsidRPr="00B24276">
        <w:rPr>
          <w:rFonts w:eastAsia="Times New Roman"/>
          <w:b/>
          <w:bCs/>
          <w:i/>
          <w:iCs/>
          <w:lang w:eastAsia="da-DK"/>
        </w:rPr>
        <w:t xml:space="preserve"> </w:t>
      </w:r>
      <w:r w:rsidR="00CA7488" w:rsidRPr="00B24276">
        <w:rPr>
          <w:b/>
          <w:bCs/>
          <w:i/>
          <w:iCs/>
        </w:rPr>
        <w:fldChar w:fldCharType="begin"/>
      </w:r>
      <w:r w:rsidR="00CA7488" w:rsidRPr="00B24276">
        <w:rPr>
          <w:b/>
          <w:bCs/>
          <w:i/>
          <w:iCs/>
        </w:rPr>
        <w:instrText xml:space="preserve"> SEQ Proposal \* ARABIC </w:instrText>
      </w:r>
      <w:r w:rsidR="00CA7488" w:rsidRPr="00B24276">
        <w:rPr>
          <w:b/>
          <w:bCs/>
          <w:i/>
          <w:iCs/>
        </w:rPr>
        <w:fldChar w:fldCharType="separate"/>
      </w:r>
      <w:r w:rsidR="00D17601">
        <w:rPr>
          <w:b/>
          <w:bCs/>
          <w:i/>
          <w:iCs/>
          <w:noProof/>
        </w:rPr>
        <w:t>12</w:t>
      </w:r>
      <w:r w:rsidR="00CA7488" w:rsidRPr="00B24276">
        <w:rPr>
          <w:b/>
          <w:bCs/>
          <w:i/>
          <w:iCs/>
        </w:rPr>
        <w:fldChar w:fldCharType="end"/>
      </w:r>
      <w:r w:rsidRPr="00B24276">
        <w:rPr>
          <w:rFonts w:eastAsia="Times New Roman"/>
          <w:b/>
          <w:bCs/>
          <w:i/>
          <w:iCs/>
          <w:lang w:eastAsia="da-DK"/>
        </w:rPr>
        <w:t xml:space="preserve">: Study </w:t>
      </w:r>
      <w:r w:rsidR="004A65B3" w:rsidRPr="00B24276">
        <w:rPr>
          <w:rFonts w:eastAsia="Times New Roman"/>
          <w:b/>
          <w:bCs/>
          <w:i/>
          <w:iCs/>
          <w:lang w:eastAsia="da-DK"/>
        </w:rPr>
        <w:t xml:space="preserve">the </w:t>
      </w:r>
      <w:r w:rsidRPr="00B24276">
        <w:rPr>
          <w:rFonts w:eastAsia="Times New Roman"/>
          <w:b/>
          <w:bCs/>
          <w:i/>
          <w:iCs/>
          <w:lang w:eastAsia="da-DK"/>
        </w:rPr>
        <w:t xml:space="preserve">feasibility and cost of muting co-channel interferer for </w:t>
      </w:r>
      <w:r w:rsidR="0057322B" w:rsidRPr="00B24276">
        <w:rPr>
          <w:rFonts w:eastAsia="Times New Roman"/>
          <w:b/>
          <w:bCs/>
          <w:i/>
          <w:iCs/>
          <w:lang w:eastAsia="da-DK"/>
        </w:rPr>
        <w:t xml:space="preserve">the </w:t>
      </w:r>
      <w:r w:rsidR="00E91A38" w:rsidRPr="00B24276">
        <w:rPr>
          <w:rFonts w:eastAsia="Times New Roman"/>
          <w:b/>
          <w:bCs/>
          <w:i/>
          <w:iCs/>
          <w:lang w:eastAsia="da-DK"/>
        </w:rPr>
        <w:t>assessment of</w:t>
      </w:r>
      <w:r w:rsidR="0057322B" w:rsidRPr="00B24276">
        <w:rPr>
          <w:rFonts w:eastAsia="Times New Roman"/>
          <w:b/>
          <w:bCs/>
          <w:i/>
          <w:iCs/>
          <w:lang w:eastAsia="da-DK"/>
        </w:rPr>
        <w:t xml:space="preserve"> inter-subband UE CLI </w:t>
      </w:r>
      <w:r w:rsidR="00E91A38" w:rsidRPr="00B24276">
        <w:rPr>
          <w:rFonts w:eastAsia="Times New Roman"/>
          <w:b/>
          <w:bCs/>
          <w:i/>
          <w:iCs/>
          <w:lang w:eastAsia="da-DK"/>
        </w:rPr>
        <w:t>using CLI-RSSI measurements</w:t>
      </w:r>
      <w:r w:rsidRPr="00B24276">
        <w:rPr>
          <w:rFonts w:eastAsia="Times New Roman"/>
          <w:b/>
          <w:bCs/>
          <w:i/>
          <w:iCs/>
          <w:lang w:eastAsia="da-DK"/>
        </w:rPr>
        <w:t>.</w:t>
      </w:r>
      <w:bookmarkEnd w:id="34"/>
    </w:p>
    <w:p w14:paraId="3B668265" w14:textId="44C11A93" w:rsidR="009B7D38" w:rsidRPr="00F45A18" w:rsidRDefault="00DF6E80" w:rsidP="00B24276">
      <w:pPr>
        <w:overflowPunct/>
        <w:autoSpaceDE/>
        <w:autoSpaceDN/>
        <w:adjustRightInd/>
        <w:spacing w:after="120"/>
        <w:jc w:val="both"/>
        <w:textAlignment w:val="center"/>
      </w:pPr>
      <w:r w:rsidRPr="00F45A18">
        <w:t>In the current specification,</w:t>
      </w:r>
      <w:r w:rsidR="005166F9" w:rsidRPr="00F45A18">
        <w:t xml:space="preserve"> </w:t>
      </w:r>
      <w:r w:rsidR="00BE50AE" w:rsidRPr="00BE50AE">
        <w:t>UE-UE CLI</w:t>
      </w:r>
      <w:r w:rsidRPr="00F45A18">
        <w:t xml:space="preserve"> measurement is supported by Layer-3 measurement and reporting framework. This allows accurate measurement and tracking of the large-scale fading w.r.t. the aggressor </w:t>
      </w:r>
      <w:r w:rsidR="00FF57A7" w:rsidRPr="00F45A18">
        <w:t>using</w:t>
      </w:r>
      <w:r w:rsidRPr="00F45A18">
        <w:t xml:space="preserve"> L3 filtering</w:t>
      </w:r>
      <w:r w:rsidR="00FF57A7" w:rsidRPr="00F45A18">
        <w:t xml:space="preserve"> (which can also be disabled)</w:t>
      </w:r>
      <w:r w:rsidRPr="00F45A18">
        <w:t>.</w:t>
      </w:r>
      <w:r w:rsidR="009B7D38" w:rsidRPr="00F45A18">
        <w:t xml:space="preserve"> Up to 32 different SRS-RSRP and 64 CLI_RSSI measurement objects can be configured with separate measurement resources. The minimum latencies of </w:t>
      </w:r>
      <w:r w:rsidR="00D33473">
        <w:t xml:space="preserve">RRC </w:t>
      </w:r>
      <w:r w:rsidR="009B7D38" w:rsidRPr="00F45A18">
        <w:t xml:space="preserve">configuration and event triggered </w:t>
      </w:r>
      <w:r w:rsidR="00D33473">
        <w:t xml:space="preserve">RRC </w:t>
      </w:r>
      <w:r w:rsidR="009B7D38" w:rsidRPr="00F45A18">
        <w:t xml:space="preserve">reporting are in the realm of ten milliseconds (while periodic reporting </w:t>
      </w:r>
      <w:r w:rsidR="00E91A38">
        <w:t xml:space="preserve">could be configured with an </w:t>
      </w:r>
      <w:r w:rsidR="009B7D38" w:rsidRPr="00F45A18">
        <w:t xml:space="preserve">interval </w:t>
      </w:r>
      <w:r w:rsidR="00E91A38">
        <w:t>of</w:t>
      </w:r>
      <w:r w:rsidR="009B7D38" w:rsidRPr="00F45A18">
        <w:t xml:space="preserve"> minimum 120ms), which is adequate for coordinating measurements and interference mitigation with neighbour cells, but for ad-hoc assessment of inter-subband</w:t>
      </w:r>
      <w:r w:rsidR="00B77CAB">
        <w:t xml:space="preserve"> cross-link</w:t>
      </w:r>
      <w:r w:rsidR="009B7D38" w:rsidRPr="00F45A18">
        <w:t xml:space="preserve"> interferences within the cell may be too slow. </w:t>
      </w:r>
      <w:r w:rsidR="00F45A18" w:rsidRPr="00F45A18">
        <w:t>Due to the dynamic nature of SBFD scheduling and the increased number of UE-UE pairs to be assessed, Layer-3 UE-UE CLI measurement enabling and disabling may not be flexible enough.</w:t>
      </w:r>
      <w:r w:rsidR="00E91A38">
        <w:t xml:space="preserve"> Therefore, </w:t>
      </w:r>
      <w:r w:rsidR="00E91A38" w:rsidRPr="00E91A38">
        <w:t>the need for Layer-1 UE-UE CLI measurement, and the details of its features</w:t>
      </w:r>
      <w:r w:rsidR="00E91A38">
        <w:t xml:space="preserve"> should be studied.</w:t>
      </w:r>
      <w:r w:rsidR="009B7D38" w:rsidRPr="00F45A18">
        <w:t xml:space="preserve"> </w:t>
      </w:r>
    </w:p>
    <w:p w14:paraId="75CA16BD" w14:textId="53502E00" w:rsidR="00BE50AE" w:rsidRPr="00B24276" w:rsidRDefault="00BE50AE" w:rsidP="00B24276">
      <w:pPr>
        <w:overflowPunct/>
        <w:autoSpaceDE/>
        <w:autoSpaceDN/>
        <w:adjustRightInd/>
        <w:spacing w:after="120"/>
        <w:jc w:val="both"/>
        <w:textAlignment w:val="center"/>
        <w:rPr>
          <w:b/>
          <w:bCs/>
          <w:i/>
          <w:iCs/>
        </w:rPr>
      </w:pPr>
      <w:bookmarkStart w:id="35" w:name="_Ref111210904"/>
      <w:r w:rsidRPr="00B24276">
        <w:rPr>
          <w:b/>
          <w:bCs/>
          <w:i/>
          <w:iCs/>
        </w:rPr>
        <w:t>Proposal</w:t>
      </w:r>
      <w:r w:rsidR="00CA7488" w:rsidRPr="00B24276">
        <w:rPr>
          <w:b/>
          <w:bCs/>
          <w:i/>
          <w:iCs/>
        </w:rPr>
        <w:t xml:space="preserve"> </w:t>
      </w:r>
      <w:r w:rsidR="00CA7488" w:rsidRPr="00B24276">
        <w:rPr>
          <w:b/>
          <w:bCs/>
          <w:i/>
          <w:iCs/>
        </w:rPr>
        <w:fldChar w:fldCharType="begin"/>
      </w:r>
      <w:r w:rsidR="00CA7488" w:rsidRPr="00B24276">
        <w:rPr>
          <w:b/>
          <w:bCs/>
          <w:i/>
          <w:iCs/>
        </w:rPr>
        <w:instrText xml:space="preserve"> SEQ Proposal \* ARABIC </w:instrText>
      </w:r>
      <w:r w:rsidR="00CA7488" w:rsidRPr="00B24276">
        <w:rPr>
          <w:b/>
          <w:bCs/>
          <w:i/>
          <w:iCs/>
        </w:rPr>
        <w:fldChar w:fldCharType="separate"/>
      </w:r>
      <w:r w:rsidR="00D17601">
        <w:rPr>
          <w:b/>
          <w:bCs/>
          <w:i/>
          <w:iCs/>
          <w:noProof/>
        </w:rPr>
        <w:t>13</w:t>
      </w:r>
      <w:r w:rsidR="00CA7488" w:rsidRPr="00B24276">
        <w:rPr>
          <w:b/>
          <w:bCs/>
          <w:i/>
          <w:iCs/>
        </w:rPr>
        <w:fldChar w:fldCharType="end"/>
      </w:r>
      <w:r w:rsidRPr="00B24276">
        <w:rPr>
          <w:b/>
          <w:bCs/>
          <w:i/>
          <w:iCs/>
        </w:rPr>
        <w:t xml:space="preserve">: </w:t>
      </w:r>
      <w:r w:rsidR="00132B7F" w:rsidRPr="00B24276">
        <w:rPr>
          <w:b/>
          <w:bCs/>
          <w:i/>
          <w:iCs/>
        </w:rPr>
        <w:t>Study the need for</w:t>
      </w:r>
      <w:r w:rsidRPr="00B24276">
        <w:rPr>
          <w:b/>
          <w:bCs/>
          <w:i/>
          <w:iCs/>
        </w:rPr>
        <w:t xml:space="preserve"> Layer-1 UE-UE CLI measurement</w:t>
      </w:r>
      <w:r w:rsidR="00132B7F" w:rsidRPr="00B24276">
        <w:rPr>
          <w:b/>
          <w:bCs/>
          <w:i/>
          <w:iCs/>
        </w:rPr>
        <w:t xml:space="preserve">, and </w:t>
      </w:r>
      <w:r w:rsidR="00DE702B" w:rsidRPr="00B24276">
        <w:rPr>
          <w:b/>
          <w:bCs/>
          <w:i/>
          <w:iCs/>
        </w:rPr>
        <w:t>the</w:t>
      </w:r>
      <w:r w:rsidR="00132B7F" w:rsidRPr="00B24276">
        <w:rPr>
          <w:b/>
          <w:bCs/>
          <w:i/>
          <w:iCs/>
        </w:rPr>
        <w:t xml:space="preserve"> detail</w:t>
      </w:r>
      <w:r w:rsidR="00DE702B" w:rsidRPr="00B24276">
        <w:rPr>
          <w:b/>
          <w:bCs/>
          <w:i/>
          <w:iCs/>
        </w:rPr>
        <w:t>s of its</w:t>
      </w:r>
      <w:r w:rsidR="00132B7F" w:rsidRPr="00B24276">
        <w:rPr>
          <w:b/>
          <w:bCs/>
          <w:i/>
          <w:iCs/>
        </w:rPr>
        <w:t xml:space="preserve"> fea</w:t>
      </w:r>
      <w:r w:rsidR="00DE702B" w:rsidRPr="00B24276">
        <w:rPr>
          <w:b/>
          <w:bCs/>
          <w:i/>
          <w:iCs/>
        </w:rPr>
        <w:t>t</w:t>
      </w:r>
      <w:r w:rsidR="00132B7F" w:rsidRPr="00B24276">
        <w:rPr>
          <w:b/>
          <w:bCs/>
          <w:i/>
          <w:iCs/>
        </w:rPr>
        <w:t>ures</w:t>
      </w:r>
      <w:r w:rsidRPr="00B24276">
        <w:rPr>
          <w:b/>
          <w:bCs/>
          <w:i/>
          <w:iCs/>
        </w:rPr>
        <w:t>.</w:t>
      </w:r>
      <w:bookmarkEnd w:id="35"/>
    </w:p>
    <w:p w14:paraId="533901F4" w14:textId="3A649A0B" w:rsidR="002114F0" w:rsidRDefault="002114F0" w:rsidP="002114F0">
      <w:pPr>
        <w:pStyle w:val="Heading3"/>
      </w:pPr>
      <w:r w:rsidRPr="002114F0">
        <w:rPr>
          <w:rFonts w:eastAsia="Times New Roman"/>
          <w:lang w:eastAsia="da-DK"/>
        </w:rPr>
        <w:t>Reverse</w:t>
      </w:r>
      <w:r w:rsidRPr="002114F0">
        <w:t xml:space="preserve"> UE-UE CLI measurements</w:t>
      </w:r>
    </w:p>
    <w:p w14:paraId="0C077273" w14:textId="2935B92C" w:rsidR="007B7F89" w:rsidRDefault="009732DA" w:rsidP="002F4C60">
      <w:pPr>
        <w:jc w:val="both"/>
      </w:pPr>
      <w:r w:rsidRPr="002F4C60">
        <w:t>One challenge for SBFD deployment</w:t>
      </w:r>
      <w:r w:rsidR="00E112F2" w:rsidRPr="002F4C60">
        <w:t xml:space="preserve"> is the presence of </w:t>
      </w:r>
      <w:r w:rsidR="007A2DB2" w:rsidRPr="002F4C60">
        <w:t>legacy</w:t>
      </w:r>
      <w:r w:rsidR="00E112F2" w:rsidRPr="002F4C60">
        <w:t xml:space="preserve"> of UE</w:t>
      </w:r>
      <w:r w:rsidR="007A2DB2" w:rsidRPr="002F4C60">
        <w:t xml:space="preserve">s that don’t support R16 CLI measurement. For such UEs, the network can’t adopt scheduling algorithm to avoid simultaneous scheduling of UE with </w:t>
      </w:r>
      <w:r w:rsidR="00FB4E42" w:rsidRPr="002F4C60">
        <w:t>proximity</w:t>
      </w:r>
      <w:r w:rsidR="007A2DB2" w:rsidRPr="002F4C60">
        <w:t xml:space="preserve"> (i.e., with high inter-UE CLI). On possible solution is utilize the CLI report from a UE that supports CLI measurement to estimate the CLI that UE could cause to legacy UE that doesn’t support CLI measurement.</w:t>
      </w:r>
      <w:r w:rsidR="002F4C60" w:rsidRPr="002F4C60">
        <w:t xml:space="preserve"> </w:t>
      </w:r>
      <w:r w:rsidR="00E016E1" w:rsidRPr="00E016E1">
        <w:t xml:space="preserve">UE-UE CLI-prediction based on measurement in reverse Tx-Rx direction </w:t>
      </w:r>
      <w:r w:rsidR="007B7F89">
        <w:t>can be</w:t>
      </w:r>
      <w:r w:rsidR="00E016E1" w:rsidRPr="00E016E1">
        <w:t xml:space="preserve"> </w:t>
      </w:r>
      <w:r w:rsidR="007B7F89">
        <w:t>used to</w:t>
      </w:r>
      <w:r w:rsidR="00E016E1" w:rsidRPr="00E016E1">
        <w:t xml:space="preserve"> protect legacy UEs not supporting </w:t>
      </w:r>
      <w:r w:rsidR="00876545">
        <w:t>UE-UE CLI m</w:t>
      </w:r>
      <w:r w:rsidR="00E016E1" w:rsidRPr="00E016E1">
        <w:t>easurements</w:t>
      </w:r>
      <w:r w:rsidR="00861F12">
        <w:t xml:space="preserve"> </w:t>
      </w:r>
      <w:r w:rsidR="00861F12" w:rsidRPr="004A2DF8">
        <w:t>(</w:t>
      </w:r>
      <w:r w:rsidR="00861F12" w:rsidRPr="004A2DF8">
        <w:fldChar w:fldCharType="begin"/>
      </w:r>
      <w:r w:rsidR="00861F12" w:rsidRPr="004A2DF8">
        <w:instrText xml:space="preserve"> REF _Ref110506027 \h  \* MERGEFORMAT </w:instrText>
      </w:r>
      <w:r w:rsidR="00861F12" w:rsidRPr="004A2DF8">
        <w:fldChar w:fldCharType="separate"/>
      </w:r>
      <w:r w:rsidR="00D17601">
        <w:t xml:space="preserve">Figure </w:t>
      </w:r>
      <w:r w:rsidR="00D17601">
        <w:rPr>
          <w:noProof/>
        </w:rPr>
        <w:t>6</w:t>
      </w:r>
      <w:r w:rsidR="00861F12" w:rsidRPr="004A2DF8">
        <w:fldChar w:fldCharType="end"/>
      </w:r>
      <w:r w:rsidR="00861F12" w:rsidRPr="004A2DF8">
        <w:t>)</w:t>
      </w:r>
      <w:r w:rsidR="00E016E1" w:rsidRPr="004A2DF8">
        <w:t>.</w:t>
      </w:r>
      <w:r w:rsidR="007B7F89">
        <w:t xml:space="preserve"> However, due to asymmetries of Tx and Rx branches (</w:t>
      </w:r>
      <w:r w:rsidR="004A2DF8">
        <w:t>e.g.,</w:t>
      </w:r>
      <w:r w:rsidR="007B7F89">
        <w:t xml:space="preserve"> number of Tx and Rx antennae), </w:t>
      </w:r>
      <w:r w:rsidR="007B7F89" w:rsidRPr="007B7F89">
        <w:t>Tx-Rx</w:t>
      </w:r>
      <w:r w:rsidR="007B7F89">
        <w:t xml:space="preserve"> reciprocity will not always hold, or will hold for large-scale propagation parameters only.</w:t>
      </w:r>
      <w:r w:rsidR="002E7D75">
        <w:t xml:space="preserve"> </w:t>
      </w:r>
      <w:r w:rsidR="004A3064">
        <w:t xml:space="preserve">Therefore, </w:t>
      </w:r>
      <w:r w:rsidR="002E7D75" w:rsidRPr="002E7D75">
        <w:t xml:space="preserve">RAN1 </w:t>
      </w:r>
      <w:r w:rsidR="002E7D75">
        <w:t>should</w:t>
      </w:r>
      <w:r w:rsidR="002E7D75" w:rsidRPr="002E7D75">
        <w:t xml:space="preserve"> study the feasibility of using “</w:t>
      </w:r>
      <w:r w:rsidR="00D33473">
        <w:t>r</w:t>
      </w:r>
      <w:r w:rsidR="002E7D75" w:rsidRPr="002E7D75">
        <w:t>everse</w:t>
      </w:r>
      <w:r w:rsidR="00876545">
        <w:t>”</w:t>
      </w:r>
      <w:r w:rsidR="002E7D75" w:rsidRPr="002E7D75">
        <w:t xml:space="preserve"> UE-UE CLI </w:t>
      </w:r>
      <w:r w:rsidR="00876545">
        <w:t>m</w:t>
      </w:r>
      <w:r w:rsidR="002E7D75" w:rsidRPr="002E7D75">
        <w:t xml:space="preserve">easurement to protect legacy UEs not supporting </w:t>
      </w:r>
      <w:r w:rsidR="00876545">
        <w:t>CLI</w:t>
      </w:r>
      <w:r w:rsidR="002E7D75" w:rsidRPr="002E7D75">
        <w:t xml:space="preserve"> measurements.</w:t>
      </w:r>
    </w:p>
    <w:p w14:paraId="43704C64" w14:textId="09E8C57A" w:rsidR="002F4C60" w:rsidRDefault="002F4C60" w:rsidP="002F4C60">
      <w:r>
        <w:rPr>
          <w:noProof/>
        </w:rPr>
        <w:lastRenderedPageBreak/>
        <w:drawing>
          <wp:inline distT="0" distB="0" distL="0" distR="0" wp14:anchorId="1F7AC1FA" wp14:editId="4A506969">
            <wp:extent cx="5419090" cy="2563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9090" cy="2563495"/>
                    </a:xfrm>
                    <a:prstGeom prst="rect">
                      <a:avLst/>
                    </a:prstGeom>
                    <a:noFill/>
                    <a:ln>
                      <a:noFill/>
                    </a:ln>
                  </pic:spPr>
                </pic:pic>
              </a:graphicData>
            </a:graphic>
          </wp:inline>
        </w:drawing>
      </w:r>
    </w:p>
    <w:p w14:paraId="462F777D" w14:textId="3C09C897" w:rsidR="002F4C60" w:rsidRDefault="002F4C60" w:rsidP="002F4C60">
      <w:pPr>
        <w:jc w:val="center"/>
      </w:pPr>
      <w:bookmarkStart w:id="36" w:name="_Ref110506027"/>
      <w:r>
        <w:t xml:space="preserve">Figure </w:t>
      </w:r>
      <w:r>
        <w:fldChar w:fldCharType="begin"/>
      </w:r>
      <w:r>
        <w:instrText xml:space="preserve"> SEQ Figure \* ARABIC </w:instrText>
      </w:r>
      <w:r>
        <w:fldChar w:fldCharType="separate"/>
      </w:r>
      <w:r w:rsidR="00D17601">
        <w:rPr>
          <w:noProof/>
        </w:rPr>
        <w:t>6</w:t>
      </w:r>
      <w:r>
        <w:fldChar w:fldCharType="end"/>
      </w:r>
      <w:bookmarkEnd w:id="36"/>
      <w:r w:rsidR="00D17601">
        <w:t>:</w:t>
      </w:r>
      <w:r>
        <w:t xml:space="preserve"> Forward and reverse CLI-measurement and prediction scenarios involving one legacy UE without CLI-measurement UE capability.</w:t>
      </w:r>
    </w:p>
    <w:p w14:paraId="7C84964E" w14:textId="1C3AE76B" w:rsidR="009B3801" w:rsidRPr="009B3801" w:rsidRDefault="007B7F89" w:rsidP="00B24276">
      <w:pPr>
        <w:overflowPunct/>
        <w:autoSpaceDE/>
        <w:adjustRightInd/>
        <w:spacing w:after="120"/>
        <w:contextualSpacing/>
        <w:jc w:val="both"/>
        <w:textAlignment w:val="center"/>
      </w:pPr>
      <w:r>
        <w:t>In FR1, we may consider</w:t>
      </w:r>
      <w:r w:rsidR="00FA77CB">
        <w:t>, for simplicity,</w:t>
      </w:r>
      <w:r>
        <w:t xml:space="preserve"> a</w:t>
      </w:r>
      <w:r w:rsidR="00387B43">
        <w:t>n example configuration of</w:t>
      </w:r>
      <w:r>
        <w:t xml:space="preserve"> 1</w:t>
      </w:r>
      <w:r w:rsidR="00387B43">
        <w:t xml:space="preserve">Tx4Rx antenna configuration for both </w:t>
      </w:r>
      <w:r w:rsidR="00FA77CB">
        <w:t xml:space="preserve">the </w:t>
      </w:r>
      <w:r w:rsidR="00387B43">
        <w:t>aggressor and</w:t>
      </w:r>
      <w:r w:rsidR="00FA77CB">
        <w:t xml:space="preserve"> the</w:t>
      </w:r>
      <w:r w:rsidR="00387B43">
        <w:t xml:space="preserve"> victim UEs. In reverse CLI-measurement, the victim has the role of Tx instead of Rx, and the aggressor turns to Rx instead of Tx. To collect measurements over all antennae of the victim UE, the victim can be configured to transmit a set of SRS resources with </w:t>
      </w:r>
      <w:r w:rsidR="009B3801">
        <w:t>‘</w:t>
      </w:r>
      <w:r w:rsidR="009B3801" w:rsidRPr="00B24276">
        <w:rPr>
          <w:i/>
          <w:iCs/>
        </w:rPr>
        <w:t>usage</w:t>
      </w:r>
      <w:r w:rsidR="009B3801">
        <w:t xml:space="preserve">’ set to </w:t>
      </w:r>
      <w:r w:rsidR="00387B43">
        <w:t>‘</w:t>
      </w:r>
      <w:r w:rsidR="00387B43" w:rsidRPr="00B24276">
        <w:rPr>
          <w:i/>
          <w:iCs/>
        </w:rPr>
        <w:t>antenna</w:t>
      </w:r>
      <w:r w:rsidR="009B3801" w:rsidRPr="00B24276">
        <w:rPr>
          <w:i/>
          <w:iCs/>
        </w:rPr>
        <w:t>Switching</w:t>
      </w:r>
      <w:r w:rsidR="009B3801">
        <w:t>’</w:t>
      </w:r>
      <w:r w:rsidR="00861F12">
        <w:t xml:space="preserve"> </w:t>
      </w:r>
      <w:r w:rsidR="00DF4A33" w:rsidRPr="004A2DF8">
        <w:fldChar w:fldCharType="begin"/>
      </w:r>
      <w:r w:rsidR="00DF4A33" w:rsidRPr="004A2DF8">
        <w:instrText xml:space="preserve"> REF _Ref110508616 \n \h </w:instrText>
      </w:r>
      <w:r w:rsidR="004A2DF8" w:rsidRPr="004A2DF8">
        <w:instrText xml:space="preserve"> \* MERGEFORMAT </w:instrText>
      </w:r>
      <w:r w:rsidR="00DF4A33" w:rsidRPr="004A2DF8">
        <w:fldChar w:fldCharType="separate"/>
      </w:r>
      <w:r w:rsidR="00D17601">
        <w:rPr>
          <w:cs/>
        </w:rPr>
        <w:t>‎</w:t>
      </w:r>
      <w:r w:rsidR="00D17601">
        <w:t>[2]</w:t>
      </w:r>
      <w:r w:rsidR="00DF4A33" w:rsidRPr="004A2DF8">
        <w:fldChar w:fldCharType="end"/>
      </w:r>
      <w:r w:rsidR="00DF4A33" w:rsidRPr="004A2DF8">
        <w:t xml:space="preserve"> </w:t>
      </w:r>
      <w:r w:rsidR="00861F12" w:rsidRPr="004A2DF8">
        <w:t>(</w:t>
      </w:r>
      <w:r w:rsidR="00861F12" w:rsidRPr="004A2DF8">
        <w:fldChar w:fldCharType="begin"/>
      </w:r>
      <w:r w:rsidR="00861F12" w:rsidRPr="004A2DF8">
        <w:instrText xml:space="preserve"> REF _Ref110506082 \h  \* MERGEFORMAT </w:instrText>
      </w:r>
      <w:r w:rsidR="00861F12" w:rsidRPr="004A2DF8">
        <w:fldChar w:fldCharType="separate"/>
      </w:r>
      <w:r w:rsidR="00D17601" w:rsidRPr="003C4232">
        <w:t xml:space="preserve">Figure </w:t>
      </w:r>
      <w:r w:rsidR="00D17601">
        <w:rPr>
          <w:noProof/>
        </w:rPr>
        <w:t>7</w:t>
      </w:r>
      <w:r w:rsidR="00861F12" w:rsidRPr="004A2DF8">
        <w:fldChar w:fldCharType="end"/>
      </w:r>
      <w:r w:rsidR="00861F12" w:rsidRPr="004A2DF8">
        <w:t>)</w:t>
      </w:r>
      <w:r w:rsidR="009B3801" w:rsidRPr="004A2DF8">
        <w:t>. As</w:t>
      </w:r>
      <w:r w:rsidR="009B3801">
        <w:t xml:space="preserve"> for the measuring UE, a</w:t>
      </w:r>
      <w:r w:rsidR="009B3801" w:rsidRPr="009B3801">
        <w:t>ccording to the current standard, the following behaviour can be configured for each SRS-Resource separately:</w:t>
      </w:r>
    </w:p>
    <w:p w14:paraId="05871F2F" w14:textId="77777777" w:rsidR="009B3801" w:rsidRPr="009B3801" w:rsidRDefault="009B3801" w:rsidP="00B24276">
      <w:pPr>
        <w:pStyle w:val="ListParagraph"/>
        <w:numPr>
          <w:ilvl w:val="0"/>
          <w:numId w:val="38"/>
        </w:numPr>
        <w:tabs>
          <w:tab w:val="num" w:pos="360"/>
        </w:tabs>
        <w:spacing w:after="120"/>
        <w:jc w:val="both"/>
        <w:textAlignment w:val="center"/>
        <w:rPr>
          <w:sz w:val="20"/>
          <w:szCs w:val="20"/>
        </w:rPr>
      </w:pPr>
      <w:r w:rsidRPr="009B3801">
        <w:rPr>
          <w:sz w:val="20"/>
          <w:szCs w:val="20"/>
        </w:rPr>
        <w:t>Measure SRS-RSRP per each Rx branch</w:t>
      </w:r>
    </w:p>
    <w:p w14:paraId="2BC40765" w14:textId="77777777" w:rsidR="009B3801" w:rsidRPr="009B3801" w:rsidRDefault="009B3801" w:rsidP="00B24276">
      <w:pPr>
        <w:pStyle w:val="ListParagraph"/>
        <w:numPr>
          <w:ilvl w:val="0"/>
          <w:numId w:val="38"/>
        </w:numPr>
        <w:tabs>
          <w:tab w:val="num" w:pos="360"/>
        </w:tabs>
        <w:spacing w:after="120"/>
        <w:jc w:val="both"/>
        <w:textAlignment w:val="center"/>
        <w:rPr>
          <w:sz w:val="20"/>
          <w:szCs w:val="20"/>
        </w:rPr>
      </w:pPr>
      <w:r w:rsidRPr="009B3801">
        <w:rPr>
          <w:sz w:val="20"/>
          <w:szCs w:val="20"/>
        </w:rPr>
        <w:t>Aggregate SRS-RSRP over Rx branches</w:t>
      </w:r>
    </w:p>
    <w:p w14:paraId="1A5C85CF" w14:textId="21EF44A2" w:rsidR="009B3801" w:rsidRPr="009B3801" w:rsidRDefault="009B3801" w:rsidP="00B24276">
      <w:pPr>
        <w:pStyle w:val="ListParagraph"/>
        <w:numPr>
          <w:ilvl w:val="0"/>
          <w:numId w:val="38"/>
        </w:numPr>
        <w:tabs>
          <w:tab w:val="num" w:pos="360"/>
        </w:tabs>
        <w:spacing w:after="120"/>
        <w:jc w:val="both"/>
        <w:textAlignment w:val="center"/>
        <w:rPr>
          <w:sz w:val="20"/>
          <w:szCs w:val="20"/>
        </w:rPr>
      </w:pPr>
      <w:r w:rsidRPr="009B3801">
        <w:rPr>
          <w:sz w:val="20"/>
          <w:szCs w:val="20"/>
        </w:rPr>
        <w:t>Filter SRS-RSRP</w:t>
      </w:r>
    </w:p>
    <w:p w14:paraId="6A86210D" w14:textId="77777777" w:rsidR="009B3801" w:rsidRPr="009B3801" w:rsidRDefault="009B3801" w:rsidP="00B24276">
      <w:pPr>
        <w:pStyle w:val="ListParagraph"/>
        <w:numPr>
          <w:ilvl w:val="0"/>
          <w:numId w:val="38"/>
        </w:numPr>
        <w:tabs>
          <w:tab w:val="num" w:pos="360"/>
        </w:tabs>
        <w:spacing w:after="120"/>
        <w:jc w:val="both"/>
        <w:textAlignment w:val="center"/>
        <w:rPr>
          <w:sz w:val="20"/>
          <w:szCs w:val="20"/>
        </w:rPr>
      </w:pPr>
      <w:r w:rsidRPr="009B3801">
        <w:rPr>
          <w:sz w:val="20"/>
          <w:szCs w:val="20"/>
        </w:rPr>
        <w:t>(Evaluate trigger, if event triggered reporting)</w:t>
      </w:r>
    </w:p>
    <w:p w14:paraId="36AEDB2C" w14:textId="77777777" w:rsidR="009B3801" w:rsidRPr="009B3801" w:rsidRDefault="009B3801" w:rsidP="00B24276">
      <w:pPr>
        <w:pStyle w:val="ListParagraph"/>
        <w:numPr>
          <w:ilvl w:val="0"/>
          <w:numId w:val="38"/>
        </w:numPr>
        <w:tabs>
          <w:tab w:val="num" w:pos="360"/>
        </w:tabs>
        <w:spacing w:after="120"/>
        <w:ind w:left="714" w:hanging="357"/>
        <w:jc w:val="both"/>
        <w:textAlignment w:val="center"/>
        <w:rPr>
          <w:sz w:val="20"/>
          <w:szCs w:val="20"/>
        </w:rPr>
      </w:pPr>
      <w:r w:rsidRPr="009B3801">
        <w:rPr>
          <w:sz w:val="20"/>
          <w:szCs w:val="20"/>
        </w:rPr>
        <w:t>Report result along with Meas-id and SRS-id</w:t>
      </w:r>
    </w:p>
    <w:p w14:paraId="080B08AE" w14:textId="528A3EEB" w:rsidR="00492721" w:rsidRPr="00492721" w:rsidRDefault="00492721" w:rsidP="00B24276">
      <w:pPr>
        <w:spacing w:after="120"/>
        <w:contextualSpacing/>
      </w:pPr>
      <w:r>
        <w:t>The above SRS-</w:t>
      </w:r>
      <w:r w:rsidRPr="00492721">
        <w:t xml:space="preserve">RSRP measurement behaviour has the following limitations when used for reverse CLI-prediction: </w:t>
      </w:r>
    </w:p>
    <w:p w14:paraId="2A58AA58" w14:textId="77777777" w:rsidR="00492721" w:rsidRPr="00492721" w:rsidRDefault="00492721" w:rsidP="00B24276">
      <w:pPr>
        <w:pStyle w:val="ListParagraph"/>
        <w:numPr>
          <w:ilvl w:val="0"/>
          <w:numId w:val="39"/>
        </w:numPr>
        <w:spacing w:after="120"/>
        <w:ind w:left="714" w:hanging="357"/>
        <w:rPr>
          <w:sz w:val="20"/>
          <w:szCs w:val="20"/>
        </w:rPr>
      </w:pPr>
      <w:r w:rsidRPr="00492721">
        <w:rPr>
          <w:sz w:val="20"/>
          <w:szCs w:val="20"/>
        </w:rPr>
        <w:t>Only the aggregate SRS-RSRP value is reported dropping the values measured per Rx antenna.</w:t>
      </w:r>
    </w:p>
    <w:p w14:paraId="47E32FA0" w14:textId="607F83D2" w:rsidR="00492721" w:rsidRPr="00492721" w:rsidRDefault="00492721" w:rsidP="00B24276">
      <w:pPr>
        <w:pStyle w:val="ListParagraph"/>
        <w:numPr>
          <w:ilvl w:val="0"/>
          <w:numId w:val="39"/>
        </w:numPr>
        <w:spacing w:after="120"/>
        <w:ind w:left="714" w:hanging="357"/>
        <w:rPr>
          <w:sz w:val="20"/>
          <w:szCs w:val="20"/>
        </w:rPr>
      </w:pPr>
      <w:r w:rsidRPr="00492721">
        <w:rPr>
          <w:sz w:val="20"/>
          <w:szCs w:val="20"/>
        </w:rPr>
        <w:t>SRS-resources transmitted over switched antennae will be reported on separately by measuring UE, causing inefficiency.</w:t>
      </w:r>
    </w:p>
    <w:p w14:paraId="67A92ACE" w14:textId="2933343D" w:rsidR="007B7F89" w:rsidRDefault="00196A22" w:rsidP="00196A22">
      <w:pPr>
        <w:jc w:val="both"/>
      </w:pPr>
      <w:r>
        <w:t xml:space="preserve">Therefore, we propose that </w:t>
      </w:r>
      <w:r w:rsidR="00FA77CB">
        <w:t xml:space="preserve">the </w:t>
      </w:r>
      <w:r>
        <w:t>UE reports SRS-RSRP (or CLI-RSSI) per Rx antenna separately and SRS-RSRP measurement resource can be configured to report an aggregate SRS-RSRP value measured over a set of SRS resources.</w:t>
      </w:r>
    </w:p>
    <w:p w14:paraId="0838C7E1" w14:textId="2CCF6C18" w:rsidR="00B958AE" w:rsidRDefault="00B958AE" w:rsidP="00B24276">
      <w:pPr>
        <w:spacing w:after="0"/>
        <w:jc w:val="center"/>
      </w:pPr>
      <w:r w:rsidRPr="00B958AE">
        <w:rPr>
          <w:noProof/>
        </w:rPr>
        <w:drawing>
          <wp:inline distT="0" distB="0" distL="0" distR="0" wp14:anchorId="416FD4AF" wp14:editId="09281ECD">
            <wp:extent cx="5422781" cy="2518202"/>
            <wp:effectExtent l="0" t="0" r="6985" b="0"/>
            <wp:docPr id="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4452" cy="2523622"/>
                    </a:xfrm>
                    <a:prstGeom prst="rect">
                      <a:avLst/>
                    </a:prstGeom>
                    <a:noFill/>
                    <a:ln>
                      <a:noFill/>
                    </a:ln>
                  </pic:spPr>
                </pic:pic>
              </a:graphicData>
            </a:graphic>
          </wp:inline>
        </w:drawing>
      </w:r>
    </w:p>
    <w:p w14:paraId="32B891B6" w14:textId="0799EEA4" w:rsidR="003C4232" w:rsidRDefault="003C4232" w:rsidP="00B958AE">
      <w:pPr>
        <w:jc w:val="center"/>
      </w:pPr>
      <w:bookmarkStart w:id="37" w:name="_Ref110506082"/>
      <w:r w:rsidRPr="003C4232">
        <w:t xml:space="preserve">Figure </w:t>
      </w:r>
      <w:r w:rsidR="0023288C">
        <w:fldChar w:fldCharType="begin"/>
      </w:r>
      <w:r w:rsidR="0023288C">
        <w:instrText xml:space="preserve"> SEQ Figure \* ARABIC </w:instrText>
      </w:r>
      <w:r w:rsidR="0023288C">
        <w:fldChar w:fldCharType="separate"/>
      </w:r>
      <w:r w:rsidR="00D17601">
        <w:rPr>
          <w:noProof/>
        </w:rPr>
        <w:t>7</w:t>
      </w:r>
      <w:r w:rsidR="0023288C">
        <w:rPr>
          <w:noProof/>
        </w:rPr>
        <w:fldChar w:fldCharType="end"/>
      </w:r>
      <w:bookmarkEnd w:id="37"/>
      <w:r w:rsidR="00D17601">
        <w:t>:</w:t>
      </w:r>
      <w:r w:rsidR="00872C00">
        <w:t xml:space="preserve"> SRS-RSRP measurement with transmit-side usage of ‘antennaSwitching’ using the current features of the standard</w:t>
      </w:r>
    </w:p>
    <w:p w14:paraId="05270B37" w14:textId="7945FFBA" w:rsidR="00BE50AE" w:rsidRPr="00B24276" w:rsidRDefault="00BE50AE" w:rsidP="00B24276">
      <w:pPr>
        <w:overflowPunct/>
        <w:autoSpaceDE/>
        <w:autoSpaceDN/>
        <w:adjustRightInd/>
        <w:spacing w:after="120"/>
        <w:jc w:val="both"/>
        <w:textAlignment w:val="center"/>
        <w:rPr>
          <w:b/>
          <w:bCs/>
          <w:i/>
          <w:iCs/>
        </w:rPr>
      </w:pPr>
      <w:bookmarkStart w:id="38" w:name="_Ref111210735"/>
      <w:r w:rsidRPr="00B24276">
        <w:rPr>
          <w:b/>
          <w:bCs/>
          <w:i/>
          <w:iCs/>
        </w:rPr>
        <w:lastRenderedPageBreak/>
        <w:t>Observation</w:t>
      </w:r>
      <w:r w:rsidR="00CA7488" w:rsidRPr="00B24276">
        <w:rPr>
          <w:b/>
          <w:bCs/>
          <w:i/>
          <w:iCs/>
        </w:rPr>
        <w:t xml:space="preserve"> </w:t>
      </w:r>
      <w:r w:rsidR="00CA7488" w:rsidRPr="00B24276">
        <w:rPr>
          <w:b/>
          <w:bCs/>
          <w:i/>
          <w:iCs/>
        </w:rPr>
        <w:fldChar w:fldCharType="begin"/>
      </w:r>
      <w:r w:rsidR="00CA7488" w:rsidRPr="00B24276">
        <w:rPr>
          <w:b/>
          <w:bCs/>
          <w:i/>
          <w:iCs/>
        </w:rPr>
        <w:instrText xml:space="preserve"> SEQ Observation \* ARABIC </w:instrText>
      </w:r>
      <w:r w:rsidR="00CA7488" w:rsidRPr="00B24276">
        <w:rPr>
          <w:b/>
          <w:bCs/>
          <w:i/>
          <w:iCs/>
        </w:rPr>
        <w:fldChar w:fldCharType="separate"/>
      </w:r>
      <w:r w:rsidR="00D17601">
        <w:rPr>
          <w:b/>
          <w:bCs/>
          <w:i/>
          <w:iCs/>
          <w:noProof/>
        </w:rPr>
        <w:t>10</w:t>
      </w:r>
      <w:r w:rsidR="00CA7488" w:rsidRPr="00B24276">
        <w:rPr>
          <w:b/>
          <w:bCs/>
          <w:i/>
          <w:iCs/>
        </w:rPr>
        <w:fldChar w:fldCharType="end"/>
      </w:r>
      <w:r w:rsidRPr="00B24276">
        <w:rPr>
          <w:b/>
          <w:bCs/>
          <w:i/>
          <w:iCs/>
        </w:rPr>
        <w:t xml:space="preserve">: UE-UE CLI-prediction based on measurement in reverse Tx-Rx direction is useful to protect legacy UEs not supporting </w:t>
      </w:r>
      <w:r w:rsidR="00876545" w:rsidRPr="00B24276">
        <w:rPr>
          <w:b/>
          <w:bCs/>
          <w:i/>
          <w:iCs/>
        </w:rPr>
        <w:t>such</w:t>
      </w:r>
      <w:r w:rsidRPr="00B24276">
        <w:rPr>
          <w:b/>
          <w:bCs/>
          <w:i/>
          <w:iCs/>
        </w:rPr>
        <w:t xml:space="preserve"> measurements.</w:t>
      </w:r>
      <w:bookmarkEnd w:id="38"/>
      <w:r w:rsidRPr="00B24276">
        <w:rPr>
          <w:b/>
          <w:bCs/>
          <w:i/>
          <w:iCs/>
        </w:rPr>
        <w:t xml:space="preserve"> </w:t>
      </w:r>
    </w:p>
    <w:p w14:paraId="45E5FE3E" w14:textId="68467F54" w:rsidR="00BE50AE" w:rsidRPr="00B24276" w:rsidRDefault="00BE50AE" w:rsidP="00B24276">
      <w:pPr>
        <w:overflowPunct/>
        <w:autoSpaceDE/>
        <w:autoSpaceDN/>
        <w:adjustRightInd/>
        <w:spacing w:after="120"/>
        <w:jc w:val="both"/>
        <w:textAlignment w:val="center"/>
        <w:rPr>
          <w:b/>
          <w:bCs/>
          <w:i/>
          <w:iCs/>
        </w:rPr>
      </w:pPr>
      <w:bookmarkStart w:id="39" w:name="_Ref111210907"/>
      <w:r w:rsidRPr="00B24276">
        <w:rPr>
          <w:b/>
          <w:bCs/>
          <w:i/>
          <w:iCs/>
        </w:rPr>
        <w:t>Proposal</w:t>
      </w:r>
      <w:r w:rsidR="00CA7488" w:rsidRPr="00B24276">
        <w:rPr>
          <w:b/>
          <w:bCs/>
          <w:i/>
          <w:iCs/>
        </w:rPr>
        <w:t xml:space="preserve"> </w:t>
      </w:r>
      <w:r w:rsidR="00CA7488" w:rsidRPr="00B24276">
        <w:rPr>
          <w:b/>
          <w:bCs/>
          <w:i/>
          <w:iCs/>
        </w:rPr>
        <w:fldChar w:fldCharType="begin"/>
      </w:r>
      <w:r w:rsidR="00CA7488" w:rsidRPr="00B24276">
        <w:rPr>
          <w:b/>
          <w:bCs/>
          <w:i/>
          <w:iCs/>
        </w:rPr>
        <w:instrText xml:space="preserve"> SEQ Proposal \* ARABIC </w:instrText>
      </w:r>
      <w:r w:rsidR="00CA7488" w:rsidRPr="00B24276">
        <w:rPr>
          <w:b/>
          <w:bCs/>
          <w:i/>
          <w:iCs/>
        </w:rPr>
        <w:fldChar w:fldCharType="separate"/>
      </w:r>
      <w:r w:rsidR="00D17601">
        <w:rPr>
          <w:b/>
          <w:bCs/>
          <w:i/>
          <w:iCs/>
          <w:noProof/>
        </w:rPr>
        <w:t>14</w:t>
      </w:r>
      <w:r w:rsidR="00CA7488" w:rsidRPr="00B24276">
        <w:rPr>
          <w:b/>
          <w:bCs/>
          <w:i/>
          <w:iCs/>
        </w:rPr>
        <w:fldChar w:fldCharType="end"/>
      </w:r>
      <w:r w:rsidRPr="00B24276">
        <w:rPr>
          <w:b/>
          <w:bCs/>
          <w:i/>
          <w:iCs/>
        </w:rPr>
        <w:t xml:space="preserve">: RAN1 </w:t>
      </w:r>
      <w:r w:rsidR="00492721" w:rsidRPr="00B24276">
        <w:rPr>
          <w:b/>
          <w:bCs/>
          <w:i/>
          <w:iCs/>
        </w:rPr>
        <w:t xml:space="preserve">to </w:t>
      </w:r>
      <w:r w:rsidRPr="00B24276">
        <w:rPr>
          <w:b/>
          <w:bCs/>
          <w:i/>
          <w:iCs/>
        </w:rPr>
        <w:t>study the feasibility of using “</w:t>
      </w:r>
      <w:r w:rsidR="00892A60" w:rsidRPr="00B24276">
        <w:rPr>
          <w:b/>
          <w:bCs/>
          <w:i/>
          <w:iCs/>
        </w:rPr>
        <w:t>r</w:t>
      </w:r>
      <w:r w:rsidRPr="00B24276">
        <w:rPr>
          <w:b/>
          <w:bCs/>
          <w:i/>
          <w:iCs/>
        </w:rPr>
        <w:t>everse</w:t>
      </w:r>
      <w:r w:rsidR="00892A60" w:rsidRPr="00B24276">
        <w:rPr>
          <w:b/>
          <w:bCs/>
          <w:i/>
          <w:iCs/>
        </w:rPr>
        <w:t>”</w:t>
      </w:r>
      <w:r w:rsidRPr="00B24276">
        <w:rPr>
          <w:b/>
          <w:bCs/>
          <w:i/>
          <w:iCs/>
        </w:rPr>
        <w:t xml:space="preserve"> UE-UE CLI </w:t>
      </w:r>
      <w:r w:rsidR="00892A60" w:rsidRPr="00B24276">
        <w:rPr>
          <w:b/>
          <w:bCs/>
          <w:i/>
          <w:iCs/>
        </w:rPr>
        <w:t>m</w:t>
      </w:r>
      <w:r w:rsidRPr="00B24276">
        <w:rPr>
          <w:b/>
          <w:bCs/>
          <w:i/>
          <w:iCs/>
        </w:rPr>
        <w:t xml:space="preserve">easurement to protect legacy UEs not supporting </w:t>
      </w:r>
      <w:r w:rsidR="00876545" w:rsidRPr="00B24276">
        <w:rPr>
          <w:b/>
          <w:bCs/>
          <w:i/>
          <w:iCs/>
        </w:rPr>
        <w:t>such</w:t>
      </w:r>
      <w:r w:rsidRPr="00B24276">
        <w:rPr>
          <w:b/>
          <w:bCs/>
          <w:i/>
          <w:iCs/>
        </w:rPr>
        <w:t xml:space="preserve"> measurements.</w:t>
      </w:r>
      <w:bookmarkEnd w:id="39"/>
    </w:p>
    <w:p w14:paraId="2AF4F0ED" w14:textId="4E1EA757" w:rsidR="00376AA7" w:rsidRPr="00B24276" w:rsidRDefault="00376AA7" w:rsidP="00B24276">
      <w:pPr>
        <w:overflowPunct/>
        <w:autoSpaceDE/>
        <w:autoSpaceDN/>
        <w:adjustRightInd/>
        <w:spacing w:after="0"/>
        <w:jc w:val="both"/>
        <w:textAlignment w:val="center"/>
        <w:rPr>
          <w:b/>
          <w:bCs/>
          <w:i/>
          <w:iCs/>
        </w:rPr>
      </w:pPr>
      <w:bookmarkStart w:id="40" w:name="_Ref111210737"/>
      <w:r w:rsidRPr="00B24276">
        <w:rPr>
          <w:b/>
          <w:bCs/>
          <w:i/>
          <w:iCs/>
        </w:rPr>
        <w:t>Observation</w:t>
      </w:r>
      <w:r w:rsidR="00CA7488" w:rsidRPr="00B24276">
        <w:rPr>
          <w:b/>
          <w:bCs/>
          <w:i/>
          <w:iCs/>
        </w:rPr>
        <w:t xml:space="preserve"> </w:t>
      </w:r>
      <w:r w:rsidR="00CA7488" w:rsidRPr="00B24276">
        <w:rPr>
          <w:b/>
          <w:bCs/>
          <w:i/>
          <w:iCs/>
        </w:rPr>
        <w:fldChar w:fldCharType="begin"/>
      </w:r>
      <w:r w:rsidR="00CA7488" w:rsidRPr="00B24276">
        <w:rPr>
          <w:b/>
          <w:bCs/>
          <w:i/>
          <w:iCs/>
        </w:rPr>
        <w:instrText xml:space="preserve"> SEQ Observation \* ARABIC </w:instrText>
      </w:r>
      <w:r w:rsidR="00CA7488" w:rsidRPr="00B24276">
        <w:rPr>
          <w:b/>
          <w:bCs/>
          <w:i/>
          <w:iCs/>
        </w:rPr>
        <w:fldChar w:fldCharType="separate"/>
      </w:r>
      <w:r w:rsidR="00D17601">
        <w:rPr>
          <w:b/>
          <w:bCs/>
          <w:i/>
          <w:iCs/>
          <w:noProof/>
        </w:rPr>
        <w:t>11</w:t>
      </w:r>
      <w:r w:rsidR="00CA7488" w:rsidRPr="00B24276">
        <w:rPr>
          <w:b/>
          <w:bCs/>
          <w:i/>
          <w:iCs/>
        </w:rPr>
        <w:fldChar w:fldCharType="end"/>
      </w:r>
      <w:r w:rsidRPr="00B24276">
        <w:rPr>
          <w:b/>
          <w:bCs/>
          <w:i/>
          <w:iCs/>
        </w:rPr>
        <w:t>: SRS-RSRP measurement has the following limitations</w:t>
      </w:r>
      <w:r w:rsidR="00492721" w:rsidRPr="00B24276">
        <w:rPr>
          <w:b/>
          <w:bCs/>
          <w:i/>
          <w:iCs/>
        </w:rPr>
        <w:t xml:space="preserve"> </w:t>
      </w:r>
      <w:r w:rsidRPr="00B24276">
        <w:rPr>
          <w:b/>
          <w:bCs/>
          <w:i/>
          <w:iCs/>
        </w:rPr>
        <w:t>when used for reverse CLI-prediction:</w:t>
      </w:r>
      <w:bookmarkEnd w:id="40"/>
      <w:r w:rsidRPr="00B24276">
        <w:rPr>
          <w:b/>
          <w:bCs/>
          <w:i/>
          <w:iCs/>
        </w:rPr>
        <w:t xml:space="preserve"> </w:t>
      </w:r>
    </w:p>
    <w:p w14:paraId="11CB828D" w14:textId="77777777" w:rsidR="00376AA7" w:rsidRPr="00B24276" w:rsidRDefault="00376AA7" w:rsidP="00B24276">
      <w:pPr>
        <w:pStyle w:val="ListParagraph"/>
        <w:numPr>
          <w:ilvl w:val="0"/>
          <w:numId w:val="40"/>
        </w:numPr>
        <w:ind w:left="714" w:hanging="357"/>
        <w:contextualSpacing w:val="0"/>
        <w:jc w:val="both"/>
        <w:textAlignment w:val="center"/>
        <w:rPr>
          <w:b/>
          <w:bCs/>
          <w:i/>
          <w:iCs/>
          <w:sz w:val="20"/>
          <w:szCs w:val="20"/>
        </w:rPr>
      </w:pPr>
      <w:r w:rsidRPr="00B24276">
        <w:rPr>
          <w:b/>
          <w:bCs/>
          <w:i/>
          <w:iCs/>
          <w:sz w:val="20"/>
          <w:szCs w:val="20"/>
        </w:rPr>
        <w:t>Only the aggregate SRS-RSRP value is reported dropping the values measured per Rx antenna.</w:t>
      </w:r>
    </w:p>
    <w:p w14:paraId="3181D8AF" w14:textId="3663BB3B" w:rsidR="00BE50AE" w:rsidRPr="00B24276" w:rsidRDefault="00376AA7" w:rsidP="00B24276">
      <w:pPr>
        <w:pStyle w:val="ListParagraph"/>
        <w:numPr>
          <w:ilvl w:val="0"/>
          <w:numId w:val="40"/>
        </w:numPr>
        <w:spacing w:after="120"/>
        <w:ind w:left="714" w:hanging="357"/>
        <w:contextualSpacing w:val="0"/>
        <w:jc w:val="both"/>
        <w:textAlignment w:val="center"/>
        <w:rPr>
          <w:b/>
          <w:bCs/>
          <w:i/>
          <w:iCs/>
          <w:sz w:val="20"/>
          <w:szCs w:val="20"/>
        </w:rPr>
      </w:pPr>
      <w:r w:rsidRPr="00B24276">
        <w:rPr>
          <w:b/>
          <w:bCs/>
          <w:i/>
          <w:iCs/>
          <w:sz w:val="20"/>
          <w:szCs w:val="20"/>
        </w:rPr>
        <w:t>SRS-resources transmitted over switched antennae will be reported on separately by measuring UE</w:t>
      </w:r>
      <w:r w:rsidR="002E7D75" w:rsidRPr="00B24276">
        <w:rPr>
          <w:b/>
          <w:bCs/>
          <w:i/>
          <w:iCs/>
          <w:sz w:val="20"/>
          <w:szCs w:val="20"/>
        </w:rPr>
        <w:t>, causing inefficiency.</w:t>
      </w:r>
    </w:p>
    <w:p w14:paraId="0FC9893C" w14:textId="3D7F0684" w:rsidR="00376AA7" w:rsidRPr="00B24276" w:rsidRDefault="00376AA7" w:rsidP="00B24276">
      <w:pPr>
        <w:overflowPunct/>
        <w:autoSpaceDE/>
        <w:autoSpaceDN/>
        <w:adjustRightInd/>
        <w:spacing w:after="120"/>
        <w:jc w:val="both"/>
        <w:textAlignment w:val="center"/>
        <w:rPr>
          <w:b/>
          <w:bCs/>
          <w:i/>
          <w:iCs/>
        </w:rPr>
      </w:pPr>
      <w:bookmarkStart w:id="41" w:name="_Ref111210909"/>
      <w:r w:rsidRPr="00B24276">
        <w:rPr>
          <w:b/>
          <w:bCs/>
          <w:i/>
          <w:iCs/>
        </w:rPr>
        <w:t>Proposal</w:t>
      </w:r>
      <w:r w:rsidR="00CA7488" w:rsidRPr="00B24276">
        <w:rPr>
          <w:b/>
          <w:bCs/>
          <w:i/>
          <w:iCs/>
        </w:rPr>
        <w:t xml:space="preserve"> </w:t>
      </w:r>
      <w:r w:rsidR="00CA7488" w:rsidRPr="00B24276">
        <w:rPr>
          <w:b/>
          <w:bCs/>
          <w:i/>
          <w:iCs/>
        </w:rPr>
        <w:fldChar w:fldCharType="begin"/>
      </w:r>
      <w:r w:rsidR="00CA7488" w:rsidRPr="00B24276">
        <w:rPr>
          <w:b/>
          <w:bCs/>
          <w:i/>
          <w:iCs/>
        </w:rPr>
        <w:instrText xml:space="preserve"> SEQ Proposal \* ARABIC </w:instrText>
      </w:r>
      <w:r w:rsidR="00CA7488" w:rsidRPr="00B24276">
        <w:rPr>
          <w:b/>
          <w:bCs/>
          <w:i/>
          <w:iCs/>
        </w:rPr>
        <w:fldChar w:fldCharType="separate"/>
      </w:r>
      <w:r w:rsidR="00D17601">
        <w:rPr>
          <w:b/>
          <w:bCs/>
          <w:i/>
          <w:iCs/>
          <w:noProof/>
        </w:rPr>
        <w:t>15</w:t>
      </w:r>
      <w:r w:rsidR="00CA7488" w:rsidRPr="00B24276">
        <w:rPr>
          <w:b/>
          <w:bCs/>
          <w:i/>
          <w:iCs/>
        </w:rPr>
        <w:fldChar w:fldCharType="end"/>
      </w:r>
      <w:r w:rsidRPr="00B24276">
        <w:rPr>
          <w:b/>
          <w:bCs/>
          <w:i/>
          <w:iCs/>
        </w:rPr>
        <w:t>: UE reports SRS-RSRP (or CLI-RSSI) per Rx antenna separately.</w:t>
      </w:r>
      <w:bookmarkEnd w:id="41"/>
    </w:p>
    <w:p w14:paraId="3C4320C2" w14:textId="5F2FC4B2" w:rsidR="00376AA7" w:rsidRPr="00B24276" w:rsidRDefault="00376AA7" w:rsidP="00B24276">
      <w:pPr>
        <w:overflowPunct/>
        <w:autoSpaceDE/>
        <w:autoSpaceDN/>
        <w:adjustRightInd/>
        <w:spacing w:after="120"/>
        <w:jc w:val="both"/>
        <w:textAlignment w:val="center"/>
        <w:rPr>
          <w:b/>
          <w:bCs/>
          <w:i/>
          <w:iCs/>
        </w:rPr>
      </w:pPr>
      <w:bookmarkStart w:id="42" w:name="_Ref111210911"/>
      <w:r w:rsidRPr="00B24276">
        <w:rPr>
          <w:b/>
          <w:bCs/>
          <w:i/>
          <w:iCs/>
        </w:rPr>
        <w:t>Proposal</w:t>
      </w:r>
      <w:r w:rsidR="00CA7488" w:rsidRPr="00B24276">
        <w:rPr>
          <w:b/>
          <w:bCs/>
          <w:i/>
          <w:iCs/>
        </w:rPr>
        <w:t xml:space="preserve"> </w:t>
      </w:r>
      <w:r w:rsidR="00CA7488" w:rsidRPr="00B24276">
        <w:rPr>
          <w:b/>
          <w:bCs/>
          <w:i/>
          <w:iCs/>
        </w:rPr>
        <w:fldChar w:fldCharType="begin"/>
      </w:r>
      <w:r w:rsidR="00CA7488" w:rsidRPr="00B24276">
        <w:rPr>
          <w:b/>
          <w:bCs/>
          <w:i/>
          <w:iCs/>
        </w:rPr>
        <w:instrText xml:space="preserve"> SEQ Proposal \* ARABIC </w:instrText>
      </w:r>
      <w:r w:rsidR="00CA7488" w:rsidRPr="00B24276">
        <w:rPr>
          <w:b/>
          <w:bCs/>
          <w:i/>
          <w:iCs/>
        </w:rPr>
        <w:fldChar w:fldCharType="separate"/>
      </w:r>
      <w:r w:rsidR="00D17601">
        <w:rPr>
          <w:b/>
          <w:bCs/>
          <w:i/>
          <w:iCs/>
          <w:noProof/>
        </w:rPr>
        <w:t>16</w:t>
      </w:r>
      <w:r w:rsidR="00CA7488" w:rsidRPr="00B24276">
        <w:rPr>
          <w:b/>
          <w:bCs/>
          <w:i/>
          <w:iCs/>
        </w:rPr>
        <w:fldChar w:fldCharType="end"/>
      </w:r>
      <w:r w:rsidRPr="00B24276">
        <w:rPr>
          <w:b/>
          <w:bCs/>
          <w:i/>
          <w:iCs/>
        </w:rPr>
        <w:t>: SRS-RSRP measurement resource can be configured to report an aggregate SRS-RSRP value measured over a set of SRS resources.</w:t>
      </w:r>
      <w:bookmarkEnd w:id="42"/>
    </w:p>
    <w:p w14:paraId="75EC800D" w14:textId="2F1515DD" w:rsidR="003E34AB" w:rsidRPr="004950C5" w:rsidRDefault="00F84B7B" w:rsidP="00B24276">
      <w:pPr>
        <w:overflowPunct/>
        <w:autoSpaceDE/>
        <w:autoSpaceDN/>
        <w:adjustRightInd/>
        <w:spacing w:after="120"/>
        <w:jc w:val="both"/>
        <w:textAlignment w:val="center"/>
      </w:pPr>
      <w:r w:rsidRPr="00F84B7B">
        <w:t>In FR2</w:t>
      </w:r>
      <w:r>
        <w:t xml:space="preserve">, potential differences in the Tx and Rx analog beam patterns may hinder Tx-Rx reciprocity in </w:t>
      </w:r>
      <w:r w:rsidRPr="00F84B7B">
        <w:t>reverse CLI-measurement scenario</w:t>
      </w:r>
      <w:r>
        <w:t>. Therefore</w:t>
      </w:r>
      <w:r w:rsidRPr="00F84B7B">
        <w:t xml:space="preserve">, </w:t>
      </w:r>
      <w:r w:rsidR="002761E3">
        <w:t xml:space="preserve">the </w:t>
      </w:r>
      <w:r w:rsidRPr="00F84B7B">
        <w:t>measuring UE should be configured to use its</w:t>
      </w:r>
      <w:r w:rsidR="002761E3">
        <w:t xml:space="preserve"> appropriate</w:t>
      </w:r>
      <w:r w:rsidRPr="00F84B7B">
        <w:t xml:space="preserve"> Tx analog beam pattern (instead of Rx beam pattern).</w:t>
      </w:r>
      <w:r>
        <w:t xml:space="preserve"> To this end, the configuration </w:t>
      </w:r>
      <w:r w:rsidRPr="00F84B7B">
        <w:t>QCL-TypeD spatial relationship information</w:t>
      </w:r>
      <w:r>
        <w:t xml:space="preserve"> should be supported for SRS-RSRP measurement resources.</w:t>
      </w:r>
      <w:r w:rsidR="002F4C60">
        <w:t xml:space="preserve"> </w:t>
      </w:r>
      <w:r w:rsidR="004950C5" w:rsidRPr="002F4C60">
        <w:fldChar w:fldCharType="begin"/>
      </w:r>
      <w:r w:rsidR="004950C5" w:rsidRPr="002F4C60">
        <w:instrText xml:space="preserve"> REF _Ref110508349 \h  \* MERGEFORMAT </w:instrText>
      </w:r>
      <w:r w:rsidR="004950C5" w:rsidRPr="002F4C60">
        <w:fldChar w:fldCharType="separate"/>
      </w:r>
      <w:r w:rsidR="00D17601" w:rsidRPr="00796070">
        <w:t xml:space="preserve">Figure </w:t>
      </w:r>
      <w:r w:rsidR="00D17601">
        <w:rPr>
          <w:noProof/>
        </w:rPr>
        <w:t>8</w:t>
      </w:r>
      <w:r w:rsidR="004950C5" w:rsidRPr="002F4C60">
        <w:fldChar w:fldCharType="end"/>
      </w:r>
      <w:r w:rsidR="004950C5" w:rsidRPr="002F4C60">
        <w:t xml:space="preserve"> illustrates</w:t>
      </w:r>
      <w:r w:rsidR="004950C5">
        <w:t xml:space="preserve"> how </w:t>
      </w:r>
      <w:r w:rsidR="004950C5" w:rsidRPr="004950C5">
        <w:t>FR2 analog beam patterns (aggressor Tx and victim Rx, or vice versa in reverse measurement case) influenc</w:t>
      </w:r>
      <w:r w:rsidR="004950C5">
        <w:t>e</w:t>
      </w:r>
      <w:r w:rsidR="004950C5" w:rsidRPr="004950C5">
        <w:t xml:space="preserve"> </w:t>
      </w:r>
      <w:r w:rsidR="004950C5">
        <w:t xml:space="preserve">the </w:t>
      </w:r>
      <w:r w:rsidR="004950C5" w:rsidRPr="004950C5">
        <w:t xml:space="preserve">SRS-RSRP measurement. </w:t>
      </w:r>
      <w:r w:rsidR="004950C5">
        <w:t>Dominant p</w:t>
      </w:r>
      <w:r w:rsidR="004950C5" w:rsidRPr="004950C5">
        <w:t xml:space="preserve">ropagation paths through main </w:t>
      </w:r>
      <w:r w:rsidR="004950C5">
        <w:t>or</w:t>
      </w:r>
      <w:r w:rsidR="004950C5" w:rsidRPr="004950C5">
        <w:t xml:space="preserve"> side lobes </w:t>
      </w:r>
      <w:r w:rsidR="004950C5">
        <w:t>of Tx and Rx beam patterns are possible as illustrated by the examples.</w:t>
      </w:r>
      <w:r w:rsidR="002761E3">
        <w:t xml:space="preserve"> </w:t>
      </w:r>
    </w:p>
    <w:p w14:paraId="7748B3D1" w14:textId="21C375A0" w:rsidR="009147EE" w:rsidRDefault="009147EE" w:rsidP="00F42AD4">
      <w:pPr>
        <w:overflowPunct/>
        <w:autoSpaceDE/>
        <w:autoSpaceDN/>
        <w:adjustRightInd/>
        <w:spacing w:after="0"/>
        <w:jc w:val="center"/>
        <w:textAlignment w:val="center"/>
      </w:pPr>
      <w:r w:rsidRPr="009147EE">
        <w:rPr>
          <w:noProof/>
        </w:rPr>
        <w:drawing>
          <wp:inline distT="0" distB="0" distL="0" distR="0" wp14:anchorId="2F09D905" wp14:editId="38F682B9">
            <wp:extent cx="3261600" cy="2253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1600" cy="2253600"/>
                    </a:xfrm>
                    <a:prstGeom prst="rect">
                      <a:avLst/>
                    </a:prstGeom>
                    <a:noFill/>
                    <a:ln>
                      <a:noFill/>
                    </a:ln>
                  </pic:spPr>
                </pic:pic>
              </a:graphicData>
            </a:graphic>
          </wp:inline>
        </w:drawing>
      </w:r>
    </w:p>
    <w:p w14:paraId="07923DD3" w14:textId="11619063" w:rsidR="00796070" w:rsidRPr="00796070" w:rsidRDefault="00796070" w:rsidP="00796070">
      <w:pPr>
        <w:jc w:val="center"/>
      </w:pPr>
      <w:bookmarkStart w:id="43" w:name="_Ref110508349"/>
      <w:r w:rsidRPr="00796070">
        <w:t xml:space="preserve">Figure </w:t>
      </w:r>
      <w:r w:rsidR="0023288C">
        <w:fldChar w:fldCharType="begin"/>
      </w:r>
      <w:r w:rsidR="0023288C">
        <w:instrText xml:space="preserve"> SEQ Figure \* ARABIC </w:instrText>
      </w:r>
      <w:r w:rsidR="0023288C">
        <w:fldChar w:fldCharType="separate"/>
      </w:r>
      <w:r w:rsidR="00D17601">
        <w:rPr>
          <w:noProof/>
        </w:rPr>
        <w:t>8</w:t>
      </w:r>
      <w:r w:rsidR="0023288C">
        <w:rPr>
          <w:noProof/>
        </w:rPr>
        <w:fldChar w:fldCharType="end"/>
      </w:r>
      <w:bookmarkEnd w:id="43"/>
      <w:r w:rsidR="00D17601">
        <w:t>:</w:t>
      </w:r>
      <w:r>
        <w:t xml:space="preserve"> FR2 analog beam patterns influenc</w:t>
      </w:r>
      <w:r w:rsidR="00D65892">
        <w:t>ing (forward/reverse)</w:t>
      </w:r>
      <w:r>
        <w:t xml:space="preserve"> SRS-RSRP measurement.  </w:t>
      </w:r>
    </w:p>
    <w:p w14:paraId="38F1E2C3" w14:textId="4784FA48" w:rsidR="00376AA7" w:rsidRPr="00B24276" w:rsidRDefault="00376AA7" w:rsidP="00F42AD4">
      <w:pPr>
        <w:overflowPunct/>
        <w:autoSpaceDE/>
        <w:autoSpaceDN/>
        <w:adjustRightInd/>
        <w:spacing w:after="120"/>
        <w:jc w:val="both"/>
        <w:textAlignment w:val="center"/>
        <w:rPr>
          <w:b/>
          <w:bCs/>
          <w:i/>
          <w:iCs/>
        </w:rPr>
      </w:pPr>
      <w:bookmarkStart w:id="44" w:name="_Ref111210744"/>
      <w:r w:rsidRPr="00B24276">
        <w:rPr>
          <w:b/>
          <w:bCs/>
          <w:i/>
          <w:iCs/>
        </w:rPr>
        <w:t>Observation</w:t>
      </w:r>
      <w:r w:rsidR="00CA7488" w:rsidRPr="00B24276">
        <w:rPr>
          <w:b/>
          <w:bCs/>
          <w:i/>
          <w:iCs/>
        </w:rPr>
        <w:t xml:space="preserve"> </w:t>
      </w:r>
      <w:r w:rsidR="00CA7488" w:rsidRPr="00B24276">
        <w:rPr>
          <w:b/>
          <w:bCs/>
          <w:i/>
          <w:iCs/>
        </w:rPr>
        <w:fldChar w:fldCharType="begin"/>
      </w:r>
      <w:r w:rsidR="00CA7488" w:rsidRPr="00B24276">
        <w:rPr>
          <w:b/>
          <w:bCs/>
          <w:i/>
          <w:iCs/>
        </w:rPr>
        <w:instrText xml:space="preserve"> SEQ Observation \* ARABIC </w:instrText>
      </w:r>
      <w:r w:rsidR="00CA7488" w:rsidRPr="00B24276">
        <w:rPr>
          <w:b/>
          <w:bCs/>
          <w:i/>
          <w:iCs/>
        </w:rPr>
        <w:fldChar w:fldCharType="separate"/>
      </w:r>
      <w:r w:rsidR="00D17601">
        <w:rPr>
          <w:b/>
          <w:bCs/>
          <w:i/>
          <w:iCs/>
          <w:noProof/>
        </w:rPr>
        <w:t>12</w:t>
      </w:r>
      <w:r w:rsidR="00CA7488" w:rsidRPr="00B24276">
        <w:rPr>
          <w:b/>
          <w:bCs/>
          <w:i/>
          <w:iCs/>
        </w:rPr>
        <w:fldChar w:fldCharType="end"/>
      </w:r>
      <w:r w:rsidRPr="00B24276">
        <w:rPr>
          <w:b/>
          <w:bCs/>
          <w:i/>
          <w:iCs/>
        </w:rPr>
        <w:t>: In FR2 reverse CLI-measurement scenario, measuring UE should be configured to use its Tx analog beam</w:t>
      </w:r>
      <w:r w:rsidR="00A309B3" w:rsidRPr="00B24276">
        <w:rPr>
          <w:b/>
          <w:bCs/>
          <w:i/>
          <w:iCs/>
        </w:rPr>
        <w:t xml:space="preserve"> pattern</w:t>
      </w:r>
      <w:r w:rsidRPr="00B24276">
        <w:rPr>
          <w:b/>
          <w:bCs/>
          <w:i/>
          <w:iCs/>
        </w:rPr>
        <w:t xml:space="preserve"> (instead of Rx beam</w:t>
      </w:r>
      <w:r w:rsidR="00A309B3" w:rsidRPr="00B24276">
        <w:rPr>
          <w:b/>
          <w:bCs/>
          <w:i/>
          <w:iCs/>
        </w:rPr>
        <w:t xml:space="preserve"> pattern</w:t>
      </w:r>
      <w:r w:rsidRPr="00B24276">
        <w:rPr>
          <w:b/>
          <w:bCs/>
          <w:i/>
          <w:iCs/>
        </w:rPr>
        <w:t>).</w:t>
      </w:r>
      <w:bookmarkEnd w:id="44"/>
    </w:p>
    <w:p w14:paraId="1802C63C" w14:textId="1EC1AB18" w:rsidR="00376AA7" w:rsidRPr="00B24276" w:rsidRDefault="00376AA7" w:rsidP="00F42AD4">
      <w:pPr>
        <w:overflowPunct/>
        <w:autoSpaceDE/>
        <w:autoSpaceDN/>
        <w:adjustRightInd/>
        <w:spacing w:after="120"/>
        <w:jc w:val="both"/>
        <w:textAlignment w:val="center"/>
        <w:rPr>
          <w:b/>
          <w:bCs/>
          <w:i/>
          <w:iCs/>
        </w:rPr>
      </w:pPr>
      <w:bookmarkStart w:id="45" w:name="_Ref111210914"/>
      <w:r w:rsidRPr="00B24276">
        <w:rPr>
          <w:b/>
          <w:bCs/>
          <w:i/>
          <w:iCs/>
        </w:rPr>
        <w:t>Proposal</w:t>
      </w:r>
      <w:r w:rsidR="00CA7488" w:rsidRPr="00B24276">
        <w:rPr>
          <w:b/>
          <w:bCs/>
          <w:i/>
          <w:iCs/>
        </w:rPr>
        <w:t xml:space="preserve"> </w:t>
      </w:r>
      <w:r w:rsidR="00CA7488" w:rsidRPr="00B24276">
        <w:rPr>
          <w:b/>
          <w:bCs/>
          <w:i/>
          <w:iCs/>
        </w:rPr>
        <w:fldChar w:fldCharType="begin"/>
      </w:r>
      <w:r w:rsidR="00CA7488" w:rsidRPr="00B24276">
        <w:rPr>
          <w:b/>
          <w:bCs/>
          <w:i/>
          <w:iCs/>
        </w:rPr>
        <w:instrText xml:space="preserve"> SEQ Proposal \* ARABIC </w:instrText>
      </w:r>
      <w:r w:rsidR="00CA7488" w:rsidRPr="00B24276">
        <w:rPr>
          <w:b/>
          <w:bCs/>
          <w:i/>
          <w:iCs/>
        </w:rPr>
        <w:fldChar w:fldCharType="separate"/>
      </w:r>
      <w:r w:rsidR="00D17601">
        <w:rPr>
          <w:b/>
          <w:bCs/>
          <w:i/>
          <w:iCs/>
          <w:noProof/>
        </w:rPr>
        <w:t>17</w:t>
      </w:r>
      <w:r w:rsidR="00CA7488" w:rsidRPr="00B24276">
        <w:rPr>
          <w:b/>
          <w:bCs/>
          <w:i/>
          <w:iCs/>
        </w:rPr>
        <w:fldChar w:fldCharType="end"/>
      </w:r>
      <w:r w:rsidRPr="00B24276">
        <w:rPr>
          <w:b/>
          <w:bCs/>
          <w:i/>
          <w:iCs/>
        </w:rPr>
        <w:t>: SRS-RSRP</w:t>
      </w:r>
      <w:r w:rsidR="00F84B7B" w:rsidRPr="00B24276">
        <w:rPr>
          <w:b/>
          <w:bCs/>
          <w:i/>
          <w:iCs/>
        </w:rPr>
        <w:t xml:space="preserve"> measurement</w:t>
      </w:r>
      <w:r w:rsidR="009F11C0">
        <w:rPr>
          <w:b/>
          <w:bCs/>
          <w:i/>
          <w:iCs/>
        </w:rPr>
        <w:t xml:space="preserve"> </w:t>
      </w:r>
      <w:r w:rsidRPr="00B24276">
        <w:rPr>
          <w:b/>
          <w:bCs/>
          <w:i/>
          <w:iCs/>
        </w:rPr>
        <w:t xml:space="preserve">can be configured with QCL-TypeD </w:t>
      </w:r>
      <w:r w:rsidR="001538BC" w:rsidRPr="00B24276">
        <w:rPr>
          <w:b/>
          <w:bCs/>
          <w:i/>
          <w:iCs/>
        </w:rPr>
        <w:t>(</w:t>
      </w:r>
      <w:r w:rsidRPr="00B24276">
        <w:rPr>
          <w:b/>
          <w:bCs/>
          <w:i/>
          <w:iCs/>
        </w:rPr>
        <w:t>spatial relationship information</w:t>
      </w:r>
      <w:r w:rsidR="001538BC" w:rsidRPr="00B24276">
        <w:rPr>
          <w:b/>
          <w:bCs/>
          <w:i/>
          <w:iCs/>
        </w:rPr>
        <w:t>)</w:t>
      </w:r>
      <w:r w:rsidRPr="00B24276">
        <w:rPr>
          <w:b/>
          <w:bCs/>
          <w:i/>
          <w:iCs/>
        </w:rPr>
        <w:t>.</w:t>
      </w:r>
      <w:bookmarkEnd w:id="45"/>
    </w:p>
    <w:p w14:paraId="773DE212" w14:textId="64B054E6" w:rsidR="0099307C" w:rsidRPr="00297284" w:rsidRDefault="0099307C" w:rsidP="0099307C">
      <w:pPr>
        <w:pStyle w:val="Heading1"/>
      </w:pPr>
      <w:r w:rsidRPr="00297284">
        <w:t>Conclusion</w:t>
      </w:r>
    </w:p>
    <w:p w14:paraId="3A19D090" w14:textId="2CCEFFD0" w:rsidR="00AA5D66" w:rsidRDefault="00777AB2" w:rsidP="00B33716">
      <w:pPr>
        <w:jc w:val="both"/>
        <w:rPr>
          <w:rStyle w:val="normaltextrun"/>
          <w:color w:val="000000"/>
          <w:shd w:val="clear" w:color="auto" w:fill="FFFFFF"/>
        </w:rPr>
      </w:pPr>
      <w:r w:rsidRPr="00297284">
        <w:rPr>
          <w:rStyle w:val="normaltextrun"/>
          <w:color w:val="000000"/>
          <w:shd w:val="clear" w:color="auto" w:fill="FFFFFF"/>
        </w:rPr>
        <w:t xml:space="preserve">In this contribution, we discussed </w:t>
      </w:r>
      <w:r w:rsidR="00B33716" w:rsidRPr="00297284">
        <w:t>subband non-overlapping full duplex (SBFD) for NR</w:t>
      </w:r>
      <w:r w:rsidR="00B33716" w:rsidRPr="00297284">
        <w:rPr>
          <w:rStyle w:val="normaltextrun"/>
          <w:color w:val="000000"/>
          <w:shd w:val="clear" w:color="auto" w:fill="FFFFFF"/>
        </w:rPr>
        <w:t xml:space="preserve">, and </w:t>
      </w:r>
      <w:r w:rsidR="00F8296B" w:rsidRPr="00297284">
        <w:rPr>
          <w:rStyle w:val="normaltextrun"/>
          <w:color w:val="000000"/>
          <w:shd w:val="clear" w:color="auto" w:fill="FFFFFF"/>
        </w:rPr>
        <w:t>included</w:t>
      </w:r>
      <w:r w:rsidR="00B33716" w:rsidRPr="00297284">
        <w:rPr>
          <w:rStyle w:val="normaltextrun"/>
          <w:color w:val="000000"/>
          <w:shd w:val="clear" w:color="auto" w:fill="FFFFFF"/>
        </w:rPr>
        <w:t xml:space="preserve"> </w:t>
      </w:r>
      <w:r w:rsidR="00B33716" w:rsidRPr="00297284">
        <w:t xml:space="preserve">considerations </w:t>
      </w:r>
      <w:r w:rsidR="00AA5D66">
        <w:t>on subband</w:t>
      </w:r>
      <w:r w:rsidR="008D559D">
        <w:t xml:space="preserve"> </w:t>
      </w:r>
      <w:r w:rsidR="00AA5D66">
        <w:t>partition signalling and operation,</w:t>
      </w:r>
      <w:r w:rsidR="008D559D">
        <w:t xml:space="preserve"> and </w:t>
      </w:r>
      <w:r w:rsidR="00AA5D66">
        <w:t>frequency domain- resource allocation, UL TPC</w:t>
      </w:r>
      <w:r w:rsidR="008D559D">
        <w:t xml:space="preserve"> a</w:t>
      </w:r>
      <w:r w:rsidR="00AA5D66">
        <w:t>nd</w:t>
      </w:r>
      <w:r w:rsidR="008D559D">
        <w:t xml:space="preserve"> UE-UE CLI measurement</w:t>
      </w:r>
      <w:r w:rsidR="00B33716" w:rsidRPr="00297284">
        <w:rPr>
          <w:rFonts w:eastAsia="Times New Roman"/>
          <w:lang w:eastAsia="da-DK"/>
        </w:rPr>
        <w:t xml:space="preserve"> </w:t>
      </w:r>
      <w:r w:rsidR="008D559D">
        <w:rPr>
          <w:rFonts w:eastAsia="Times New Roman"/>
          <w:lang w:eastAsia="da-DK"/>
        </w:rPr>
        <w:t xml:space="preserve">in </w:t>
      </w:r>
      <w:r w:rsidR="00B33716" w:rsidRPr="00297284">
        <w:t>SBFD</w:t>
      </w:r>
      <w:r w:rsidR="00B33716" w:rsidRPr="00297284">
        <w:rPr>
          <w:rStyle w:val="normaltextrun"/>
          <w:color w:val="000000"/>
          <w:shd w:val="clear" w:color="auto" w:fill="FFFFFF"/>
        </w:rPr>
        <w:t>.</w:t>
      </w:r>
    </w:p>
    <w:p w14:paraId="1EF286BC" w14:textId="135CB209" w:rsidR="00F42AD4" w:rsidRDefault="00F42AD4" w:rsidP="00CE2CDA">
      <w:pPr>
        <w:spacing w:after="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_Ref111208238 \h </w:instrText>
      </w:r>
      <w:r>
        <w:rPr>
          <w:rStyle w:val="normaltextrun"/>
          <w:color w:val="000000"/>
          <w:shd w:val="clear" w:color="auto" w:fill="FFFFFF"/>
        </w:rPr>
      </w:r>
      <w:r>
        <w:rPr>
          <w:rStyle w:val="normaltextrun"/>
          <w:color w:val="000000"/>
          <w:shd w:val="clear" w:color="auto" w:fill="FFFFFF"/>
        </w:rPr>
        <w:fldChar w:fldCharType="separate"/>
      </w:r>
      <w:r w:rsidR="00D17601" w:rsidRPr="00EC4308">
        <w:rPr>
          <w:b/>
          <w:bCs/>
          <w:i/>
          <w:iCs/>
          <w:bdr w:val="none" w:sz="0" w:space="0" w:color="auto" w:frame="1"/>
        </w:rPr>
        <w:t xml:space="preserve">Observation </w:t>
      </w:r>
      <w:r w:rsidR="00D17601">
        <w:rPr>
          <w:b/>
          <w:bCs/>
          <w:i/>
          <w:iCs/>
          <w:noProof/>
        </w:rPr>
        <w:t>1</w:t>
      </w:r>
      <w:r w:rsidR="00D17601" w:rsidRPr="00EC4308">
        <w:rPr>
          <w:b/>
          <w:bCs/>
          <w:i/>
          <w:iCs/>
          <w:bdr w:val="none" w:sz="0" w:space="0" w:color="auto" w:frame="1"/>
        </w:rPr>
        <w:t>: By use of SBFD partition information UE behaviour can be enhanced in:</w:t>
      </w:r>
      <w:r>
        <w:rPr>
          <w:rStyle w:val="normaltextrun"/>
          <w:color w:val="000000"/>
          <w:shd w:val="clear" w:color="auto" w:fill="FFFFFF"/>
        </w:rPr>
        <w:fldChar w:fldCharType="end"/>
      </w:r>
    </w:p>
    <w:p w14:paraId="74DEE6F3" w14:textId="77777777" w:rsidR="00CD3598" w:rsidRPr="00CD3598" w:rsidRDefault="00CD3598" w:rsidP="00CD3598">
      <w:pPr>
        <w:pStyle w:val="ListParagraph"/>
        <w:numPr>
          <w:ilvl w:val="0"/>
          <w:numId w:val="42"/>
        </w:numPr>
        <w:tabs>
          <w:tab w:val="num" w:pos="360"/>
        </w:tabs>
        <w:spacing w:after="120"/>
        <w:jc w:val="both"/>
        <w:rPr>
          <w:b/>
          <w:bCs/>
          <w:i/>
          <w:iCs/>
          <w:sz w:val="20"/>
          <w:szCs w:val="20"/>
          <w:lang w:val="en-GB" w:eastAsia="en-US"/>
        </w:rPr>
      </w:pPr>
      <w:r w:rsidRPr="00CD3598">
        <w:rPr>
          <w:b/>
          <w:bCs/>
          <w:i/>
          <w:iCs/>
          <w:sz w:val="20"/>
          <w:szCs w:val="20"/>
          <w:lang w:val="en-GB" w:eastAsia="en-US"/>
        </w:rPr>
        <w:t>e.g., decoding adaptive FDRA allocations.</w:t>
      </w:r>
    </w:p>
    <w:p w14:paraId="18819DCC" w14:textId="07148004" w:rsidR="00CD3598" w:rsidRPr="00CD3598" w:rsidRDefault="00CD3598" w:rsidP="00CE2CDA">
      <w:pPr>
        <w:pStyle w:val="ListParagraph"/>
        <w:numPr>
          <w:ilvl w:val="0"/>
          <w:numId w:val="42"/>
        </w:numPr>
        <w:tabs>
          <w:tab w:val="num" w:pos="360"/>
        </w:tabs>
        <w:spacing w:after="60"/>
        <w:ind w:left="714" w:hanging="357"/>
        <w:jc w:val="both"/>
        <w:rPr>
          <w:sz w:val="20"/>
          <w:szCs w:val="20"/>
          <w:lang w:val="en-GB" w:eastAsia="en-US"/>
        </w:rPr>
      </w:pPr>
      <w:r w:rsidRPr="00CD3598">
        <w:rPr>
          <w:b/>
          <w:bCs/>
          <w:i/>
          <w:iCs/>
          <w:sz w:val="20"/>
          <w:szCs w:val="20"/>
          <w:lang w:val="en-GB" w:eastAsia="en-US"/>
        </w:rPr>
        <w:t>e.g., resolving intra-UE scheduling collisions.</w:t>
      </w:r>
    </w:p>
    <w:p w14:paraId="06BE39C3" w14:textId="08CB15E3" w:rsidR="00F42AD4" w:rsidRDefault="00F42AD4"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_Ref111208268 \h </w:instrText>
      </w:r>
      <w:r>
        <w:rPr>
          <w:rStyle w:val="normaltextrun"/>
          <w:color w:val="000000"/>
          <w:shd w:val="clear" w:color="auto" w:fill="FFFFFF"/>
        </w:rPr>
      </w:r>
      <w:r>
        <w:rPr>
          <w:rStyle w:val="normaltextrun"/>
          <w:color w:val="000000"/>
          <w:shd w:val="clear" w:color="auto" w:fill="FFFFFF"/>
        </w:rPr>
        <w:fldChar w:fldCharType="separate"/>
      </w:r>
      <w:r w:rsidR="00D17601" w:rsidRPr="003C6EA0">
        <w:rPr>
          <w:rFonts w:cstheme="minorHAnsi"/>
          <w:b/>
          <w:bCs/>
          <w:i/>
          <w:iCs/>
        </w:rPr>
        <w:t xml:space="preserve">Observation </w:t>
      </w:r>
      <w:r w:rsidR="00D17601">
        <w:rPr>
          <w:b/>
          <w:bCs/>
          <w:i/>
          <w:iCs/>
          <w:noProof/>
        </w:rPr>
        <w:t>2</w:t>
      </w:r>
      <w:r w:rsidR="00D17601" w:rsidRPr="003C6EA0">
        <w:rPr>
          <w:rFonts w:cstheme="minorHAnsi"/>
          <w:b/>
          <w:bCs/>
          <w:i/>
          <w:iCs/>
        </w:rPr>
        <w:t>: CORESET allocation readily supports non-contiguous frequency-domain allocation and monitoring up to three different CORESETs in a BWP.</w:t>
      </w:r>
      <w:r>
        <w:rPr>
          <w:rStyle w:val="normaltextrun"/>
          <w:color w:val="000000"/>
          <w:shd w:val="clear" w:color="auto" w:fill="FFFFFF"/>
        </w:rPr>
        <w:fldChar w:fldCharType="end"/>
      </w:r>
    </w:p>
    <w:p w14:paraId="6CA80CDD" w14:textId="5207218A" w:rsidR="00F42AD4"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_Ref111210477 \h </w:instrText>
      </w:r>
      <w:r>
        <w:rPr>
          <w:rStyle w:val="normaltextrun"/>
          <w:color w:val="000000"/>
          <w:shd w:val="clear" w:color="auto" w:fill="FFFFFF"/>
        </w:rPr>
      </w:r>
      <w:r>
        <w:rPr>
          <w:rStyle w:val="normaltextrun"/>
          <w:color w:val="000000"/>
          <w:shd w:val="clear" w:color="auto" w:fill="FFFFFF"/>
        </w:rPr>
        <w:fldChar w:fldCharType="separate"/>
      </w:r>
      <w:r w:rsidR="00D17601" w:rsidRPr="003C6EA0">
        <w:rPr>
          <w:rFonts w:cstheme="minorHAnsi"/>
          <w:b/>
          <w:bCs/>
          <w:i/>
          <w:iCs/>
        </w:rPr>
        <w:t xml:space="preserve">Observation </w:t>
      </w:r>
      <w:r w:rsidR="00D17601">
        <w:rPr>
          <w:b/>
          <w:bCs/>
          <w:i/>
          <w:iCs/>
          <w:noProof/>
        </w:rPr>
        <w:t>3</w:t>
      </w:r>
      <w:r w:rsidR="00D17601" w:rsidRPr="003C6EA0">
        <w:rPr>
          <w:rFonts w:cstheme="minorHAnsi"/>
          <w:b/>
          <w:bCs/>
          <w:i/>
          <w:iCs/>
        </w:rPr>
        <w:t>: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Pr>
          <w:rStyle w:val="normaltextrun"/>
          <w:color w:val="000000"/>
          <w:shd w:val="clear" w:color="auto" w:fill="FFFFFF"/>
        </w:rPr>
        <w:fldChar w:fldCharType="end"/>
      </w:r>
    </w:p>
    <w:p w14:paraId="16FB781C" w14:textId="1A66E0AC"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_Ref111210725 \h </w:instrText>
      </w:r>
      <w:r>
        <w:rPr>
          <w:rStyle w:val="normaltextrun"/>
          <w:color w:val="000000"/>
          <w:shd w:val="clear" w:color="auto" w:fill="FFFFFF"/>
        </w:rPr>
      </w:r>
      <w:r>
        <w:rPr>
          <w:rStyle w:val="normaltextrun"/>
          <w:color w:val="000000"/>
          <w:shd w:val="clear" w:color="auto" w:fill="FFFFFF"/>
        </w:rPr>
        <w:fldChar w:fldCharType="separate"/>
      </w:r>
      <w:r w:rsidR="00D17601" w:rsidRPr="00872959">
        <w:rPr>
          <w:b/>
          <w:bCs/>
          <w:i/>
          <w:iCs/>
        </w:rPr>
        <w:t xml:space="preserve">Observation </w:t>
      </w:r>
      <w:r w:rsidR="00D17601">
        <w:rPr>
          <w:b/>
          <w:bCs/>
          <w:i/>
          <w:iCs/>
          <w:noProof/>
        </w:rPr>
        <w:t>4</w:t>
      </w:r>
      <w:r w:rsidR="00D17601" w:rsidRPr="00872959">
        <w:rPr>
          <w:b/>
          <w:bCs/>
          <w:i/>
          <w:iCs/>
        </w:rPr>
        <w:t>: Enhancements to FDRA shall consider co-existence with legacy UEs.</w:t>
      </w:r>
      <w:r>
        <w:rPr>
          <w:rStyle w:val="normaltextrun"/>
          <w:color w:val="000000"/>
          <w:shd w:val="clear" w:color="auto" w:fill="FFFFFF"/>
        </w:rPr>
        <w:fldChar w:fldCharType="end"/>
      </w:r>
      <w:r>
        <w:rPr>
          <w:rStyle w:val="normaltextrun"/>
          <w:color w:val="000000"/>
          <w:shd w:val="clear" w:color="auto" w:fill="FFFFFF"/>
        </w:rPr>
        <w:t xml:space="preserve"> </w:t>
      </w:r>
    </w:p>
    <w:p w14:paraId="610AD39B" w14:textId="58FFC979"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_Ref111210727 \h </w:instrText>
      </w:r>
      <w:r>
        <w:rPr>
          <w:rStyle w:val="normaltextrun"/>
          <w:color w:val="000000"/>
          <w:shd w:val="clear" w:color="auto" w:fill="FFFFFF"/>
        </w:rPr>
      </w:r>
      <w:r>
        <w:rPr>
          <w:rStyle w:val="normaltextrun"/>
          <w:color w:val="000000"/>
          <w:shd w:val="clear" w:color="auto" w:fill="FFFFFF"/>
        </w:rPr>
        <w:fldChar w:fldCharType="separate"/>
      </w:r>
      <w:r w:rsidR="00D17601" w:rsidRPr="00872959">
        <w:rPr>
          <w:b/>
          <w:bCs/>
          <w:i/>
          <w:iCs/>
        </w:rPr>
        <w:t xml:space="preserve">Observation </w:t>
      </w:r>
      <w:r w:rsidR="00D17601">
        <w:rPr>
          <w:b/>
          <w:bCs/>
          <w:i/>
          <w:iCs/>
          <w:noProof/>
        </w:rPr>
        <w:t>5</w:t>
      </w:r>
      <w:r w:rsidR="00D17601" w:rsidRPr="00872959">
        <w:rPr>
          <w:b/>
          <w:bCs/>
          <w:i/>
          <w:iCs/>
        </w:rPr>
        <w:t>: When using FDRA Type-0 for PDSCH scheduling, certain RBG(s) may be unavailable due to partial overlap with UL-subband (and/or any guard band) leading to resource fragmentation.</w:t>
      </w:r>
      <w:r>
        <w:rPr>
          <w:rStyle w:val="normaltextrun"/>
          <w:color w:val="000000"/>
          <w:shd w:val="clear" w:color="auto" w:fill="FFFFFF"/>
        </w:rPr>
        <w:fldChar w:fldCharType="end"/>
      </w:r>
      <w:r>
        <w:rPr>
          <w:rStyle w:val="normaltextrun"/>
          <w:color w:val="000000"/>
          <w:shd w:val="clear" w:color="auto" w:fill="FFFFFF"/>
        </w:rPr>
        <w:t xml:space="preserve"> </w:t>
      </w:r>
    </w:p>
    <w:p w14:paraId="0B1BE9A3" w14:textId="728DE6F2"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lastRenderedPageBreak/>
        <w:fldChar w:fldCharType="begin"/>
      </w:r>
      <w:r>
        <w:rPr>
          <w:rStyle w:val="normaltextrun"/>
          <w:color w:val="000000"/>
          <w:shd w:val="clear" w:color="auto" w:fill="FFFFFF"/>
        </w:rPr>
        <w:instrText xml:space="preserve"> REF _Ref111210729 \h </w:instrText>
      </w:r>
      <w:r>
        <w:rPr>
          <w:rStyle w:val="normaltextrun"/>
          <w:color w:val="000000"/>
          <w:shd w:val="clear" w:color="auto" w:fill="FFFFFF"/>
        </w:rPr>
      </w:r>
      <w:r>
        <w:rPr>
          <w:rStyle w:val="normaltextrun"/>
          <w:color w:val="000000"/>
          <w:shd w:val="clear" w:color="auto" w:fill="FFFFFF"/>
        </w:rPr>
        <w:fldChar w:fldCharType="separate"/>
      </w:r>
      <w:r w:rsidR="00D17601" w:rsidRPr="00872959">
        <w:rPr>
          <w:b/>
          <w:bCs/>
          <w:i/>
          <w:iCs/>
        </w:rPr>
        <w:t xml:space="preserve">Observation </w:t>
      </w:r>
      <w:r w:rsidR="00D17601">
        <w:rPr>
          <w:b/>
          <w:bCs/>
          <w:i/>
          <w:iCs/>
          <w:noProof/>
        </w:rPr>
        <w:t>6</w:t>
      </w:r>
      <w:r w:rsidR="00D17601" w:rsidRPr="00872959">
        <w:rPr>
          <w:b/>
          <w:bCs/>
          <w:i/>
          <w:iCs/>
        </w:rPr>
        <w:t>: VRB-interleaving is not supported by FDRA Type-0 and is mostly incompatible with SBFD by FDRA Type-1 allocation, since PRB segments likely overlap with RBs that are not available to downlink. This prohibits VRB-interleaving altogether.</w:t>
      </w:r>
      <w:r>
        <w:rPr>
          <w:rStyle w:val="normaltextrun"/>
          <w:color w:val="000000"/>
          <w:shd w:val="clear" w:color="auto" w:fill="FFFFFF"/>
        </w:rPr>
        <w:fldChar w:fldCharType="end"/>
      </w:r>
      <w:r>
        <w:rPr>
          <w:rStyle w:val="normaltextrun"/>
          <w:color w:val="000000"/>
          <w:shd w:val="clear" w:color="auto" w:fill="FFFFFF"/>
        </w:rPr>
        <w:t xml:space="preserve"> </w:t>
      </w:r>
    </w:p>
    <w:p w14:paraId="706A32F2" w14:textId="04DD2055"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_Ref111210731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Observation </w:t>
      </w:r>
      <w:r w:rsidR="00D17601">
        <w:rPr>
          <w:b/>
          <w:bCs/>
          <w:i/>
          <w:iCs/>
          <w:noProof/>
        </w:rPr>
        <w:t>7</w:t>
      </w:r>
      <w:r w:rsidR="00D17601">
        <w:rPr>
          <w:b/>
          <w:bCs/>
          <w:i/>
          <w:iCs/>
        </w:rPr>
        <w:t xml:space="preserve">: </w:t>
      </w:r>
      <w:r w:rsidR="00D17601" w:rsidRPr="00173904">
        <w:rPr>
          <w:b/>
          <w:bCs/>
          <w:i/>
          <w:iCs/>
        </w:rPr>
        <w:t>For CG-PUSCH transmission, a single FDRA is configured for all UL slots. This may impact flexibility in resource allocation in SBFD since it has two types of slots with different bandwidths</w:t>
      </w:r>
      <w:r w:rsidR="00D17601">
        <w:rPr>
          <w:b/>
          <w:bCs/>
          <w:i/>
          <w:iCs/>
        </w:rPr>
        <w:t>.</w:t>
      </w:r>
      <w:r>
        <w:rPr>
          <w:rStyle w:val="normaltextrun"/>
          <w:color w:val="000000"/>
          <w:shd w:val="clear" w:color="auto" w:fill="FFFFFF"/>
        </w:rPr>
        <w:fldChar w:fldCharType="end"/>
      </w:r>
      <w:r>
        <w:rPr>
          <w:rStyle w:val="normaltextrun"/>
          <w:color w:val="000000"/>
          <w:shd w:val="clear" w:color="auto" w:fill="FFFFFF"/>
        </w:rPr>
        <w:t xml:space="preserve"> </w:t>
      </w:r>
    </w:p>
    <w:p w14:paraId="4E5F0098" w14:textId="46F15659"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_Ref111210732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Observation </w:t>
      </w:r>
      <w:r w:rsidR="00D17601">
        <w:rPr>
          <w:b/>
          <w:bCs/>
          <w:i/>
          <w:iCs/>
          <w:noProof/>
        </w:rPr>
        <w:t>8</w:t>
      </w:r>
      <w:r w:rsidR="00D17601">
        <w:rPr>
          <w:b/>
          <w:bCs/>
          <w:i/>
          <w:iCs/>
        </w:rPr>
        <w:t xml:space="preserve">: </w:t>
      </w:r>
      <w:r w:rsidR="00D17601">
        <w:rPr>
          <w:b/>
          <w:bCs/>
          <w:i/>
          <w:iCs/>
          <w:lang w:eastAsia="en-GB"/>
        </w:rPr>
        <w:t>For DG-PUSCH with repetition, a single FDRA is defined for all slots within a repetition. This may impact flexibility in resource allocation in SBFD since it has two types of slots with different bandwidths</w:t>
      </w:r>
      <w:r w:rsidR="00D17601">
        <w:rPr>
          <w:b/>
          <w:bCs/>
          <w:i/>
          <w:iCs/>
        </w:rPr>
        <w:t>.</w:t>
      </w:r>
      <w:r>
        <w:rPr>
          <w:rStyle w:val="normaltextrun"/>
          <w:color w:val="000000"/>
          <w:shd w:val="clear" w:color="auto" w:fill="FFFFFF"/>
        </w:rPr>
        <w:fldChar w:fldCharType="end"/>
      </w:r>
      <w:r>
        <w:rPr>
          <w:rStyle w:val="normaltextrun"/>
          <w:color w:val="000000"/>
          <w:shd w:val="clear" w:color="auto" w:fill="FFFFFF"/>
        </w:rPr>
        <w:t xml:space="preserve"> </w:t>
      </w:r>
    </w:p>
    <w:p w14:paraId="5901F1BE" w14:textId="226EC916"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_Ref111210734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Observation </w:t>
      </w:r>
      <w:r w:rsidR="00D17601">
        <w:rPr>
          <w:b/>
          <w:bCs/>
          <w:i/>
          <w:iCs/>
          <w:noProof/>
        </w:rPr>
        <w:t>9</w:t>
      </w:r>
      <w:r w:rsidR="00D17601">
        <w:rPr>
          <w:b/>
          <w:bCs/>
          <w:i/>
          <w:iCs/>
        </w:rPr>
        <w:t xml:space="preserve">: </w:t>
      </w:r>
      <w:r w:rsidR="00D17601" w:rsidRPr="00D34584">
        <w:rPr>
          <w:b/>
          <w:bCs/>
          <w:i/>
          <w:iCs/>
          <w:lang w:eastAsia="en-GB"/>
        </w:rPr>
        <w:t>When frequency hopping is enabled for SBFD, the resource allocation with frequency hopping offset applied may not be confined within the UL subband of a SBFD partitioned slot</w:t>
      </w:r>
      <w:r w:rsidR="00D17601">
        <w:rPr>
          <w:b/>
          <w:bCs/>
          <w:i/>
          <w:iCs/>
        </w:rPr>
        <w:t>.</w:t>
      </w:r>
      <w:r>
        <w:rPr>
          <w:rStyle w:val="normaltextrun"/>
          <w:color w:val="000000"/>
          <w:shd w:val="clear" w:color="auto" w:fill="FFFFFF"/>
        </w:rPr>
        <w:fldChar w:fldCharType="end"/>
      </w:r>
      <w:r>
        <w:rPr>
          <w:rStyle w:val="normaltextrun"/>
          <w:color w:val="000000"/>
          <w:shd w:val="clear" w:color="auto" w:fill="FFFFFF"/>
        </w:rPr>
        <w:t xml:space="preserve"> </w:t>
      </w:r>
    </w:p>
    <w:p w14:paraId="605FE0B7" w14:textId="466E4E2F"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_Ref111210735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Observation </w:t>
      </w:r>
      <w:r w:rsidR="00D17601">
        <w:rPr>
          <w:b/>
          <w:bCs/>
          <w:i/>
          <w:iCs/>
          <w:noProof/>
        </w:rPr>
        <w:t>10</w:t>
      </w:r>
      <w:r w:rsidR="00D17601" w:rsidRPr="00B24276">
        <w:rPr>
          <w:b/>
          <w:bCs/>
          <w:i/>
          <w:iCs/>
        </w:rPr>
        <w:t>: UE-UE CLI-prediction based on measurement in reverse Tx-Rx direction is useful to protect legacy UEs not supporting such measurements.</w:t>
      </w:r>
      <w:r>
        <w:rPr>
          <w:rStyle w:val="normaltextrun"/>
          <w:color w:val="000000"/>
          <w:shd w:val="clear" w:color="auto" w:fill="FFFFFF"/>
        </w:rPr>
        <w:fldChar w:fldCharType="end"/>
      </w:r>
      <w:r>
        <w:rPr>
          <w:rStyle w:val="normaltextrun"/>
          <w:color w:val="000000"/>
          <w:shd w:val="clear" w:color="auto" w:fill="FFFFFF"/>
        </w:rPr>
        <w:t xml:space="preserve"> </w:t>
      </w:r>
    </w:p>
    <w:p w14:paraId="5FB6FFC9" w14:textId="0E102ED6" w:rsidR="00467502" w:rsidRDefault="00467502" w:rsidP="00052687">
      <w:pPr>
        <w:spacing w:after="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_Ref111210737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Observation </w:t>
      </w:r>
      <w:r w:rsidR="00D17601">
        <w:rPr>
          <w:b/>
          <w:bCs/>
          <w:i/>
          <w:iCs/>
          <w:noProof/>
        </w:rPr>
        <w:t>11</w:t>
      </w:r>
      <w:r w:rsidR="00D17601" w:rsidRPr="00B24276">
        <w:rPr>
          <w:b/>
          <w:bCs/>
          <w:i/>
          <w:iCs/>
        </w:rPr>
        <w:t>: SRS-RSRP measurement has the following limitations when used for reverse CLI-prediction:</w:t>
      </w:r>
      <w:r>
        <w:rPr>
          <w:rStyle w:val="normaltextrun"/>
          <w:color w:val="000000"/>
          <w:shd w:val="clear" w:color="auto" w:fill="FFFFFF"/>
        </w:rPr>
        <w:fldChar w:fldCharType="end"/>
      </w:r>
    </w:p>
    <w:p w14:paraId="675034A2" w14:textId="77777777" w:rsidR="00052687" w:rsidRPr="00052687" w:rsidRDefault="00052687" w:rsidP="00052687">
      <w:pPr>
        <w:pStyle w:val="ListParagraph"/>
        <w:numPr>
          <w:ilvl w:val="0"/>
          <w:numId w:val="42"/>
        </w:numPr>
        <w:tabs>
          <w:tab w:val="num" w:pos="360"/>
        </w:tabs>
        <w:spacing w:after="120"/>
        <w:jc w:val="both"/>
        <w:rPr>
          <w:b/>
          <w:bCs/>
          <w:i/>
          <w:iCs/>
          <w:sz w:val="20"/>
          <w:szCs w:val="20"/>
          <w:lang w:val="en-GB" w:eastAsia="en-US"/>
        </w:rPr>
      </w:pPr>
      <w:r w:rsidRPr="00052687">
        <w:rPr>
          <w:b/>
          <w:bCs/>
          <w:i/>
          <w:iCs/>
          <w:sz w:val="20"/>
          <w:szCs w:val="20"/>
          <w:lang w:val="en-GB" w:eastAsia="en-US"/>
        </w:rPr>
        <w:t>Only the aggregate SRS-RSRP value is reported dropping the values measured per Rx antenna.</w:t>
      </w:r>
    </w:p>
    <w:p w14:paraId="25CFAED4" w14:textId="06419D56" w:rsidR="00052687" w:rsidRPr="00052687" w:rsidRDefault="00052687" w:rsidP="00052687">
      <w:pPr>
        <w:pStyle w:val="ListParagraph"/>
        <w:numPr>
          <w:ilvl w:val="0"/>
          <w:numId w:val="42"/>
        </w:numPr>
        <w:tabs>
          <w:tab w:val="num" w:pos="360"/>
        </w:tabs>
        <w:spacing w:after="120"/>
        <w:jc w:val="both"/>
        <w:rPr>
          <w:rStyle w:val="normaltextrun"/>
          <w:b/>
          <w:bCs/>
          <w:i/>
          <w:iCs/>
          <w:sz w:val="20"/>
          <w:szCs w:val="20"/>
          <w:lang w:val="en-GB" w:eastAsia="en-US"/>
        </w:rPr>
      </w:pPr>
      <w:r w:rsidRPr="00052687">
        <w:rPr>
          <w:b/>
          <w:bCs/>
          <w:i/>
          <w:iCs/>
          <w:sz w:val="20"/>
          <w:szCs w:val="20"/>
          <w:lang w:val="en-GB" w:eastAsia="en-US"/>
        </w:rPr>
        <w:t>SRS-resources transmitted over switched antennae will be reported on separately by measuring UE, causing inefficiency.</w:t>
      </w:r>
    </w:p>
    <w:p w14:paraId="545A3841" w14:textId="1C078695" w:rsidR="00467502" w:rsidRDefault="00467502"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_Ref111210744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Observation </w:t>
      </w:r>
      <w:r w:rsidR="00D17601">
        <w:rPr>
          <w:b/>
          <w:bCs/>
          <w:i/>
          <w:iCs/>
          <w:noProof/>
        </w:rPr>
        <w:t>12</w:t>
      </w:r>
      <w:r w:rsidR="00D17601" w:rsidRPr="00B24276">
        <w:rPr>
          <w:b/>
          <w:bCs/>
          <w:i/>
          <w:iCs/>
        </w:rPr>
        <w:t>: In FR2 reverse CLI-measurement scenario, measuring UE should be configured to use its Tx analog beam pattern (instead of Rx beam pattern).</w:t>
      </w:r>
      <w:r>
        <w:rPr>
          <w:rStyle w:val="normaltextrun"/>
          <w:color w:val="000000"/>
          <w:shd w:val="clear" w:color="auto" w:fill="FFFFFF"/>
        </w:rPr>
        <w:fldChar w:fldCharType="end"/>
      </w:r>
    </w:p>
    <w:p w14:paraId="5DD2C9D9" w14:textId="59AC622B" w:rsidR="00467502" w:rsidRDefault="00467502" w:rsidP="00F9014A">
      <w:pPr>
        <w:spacing w:after="60"/>
        <w:jc w:val="both"/>
        <w:rPr>
          <w:rStyle w:val="normaltextrun"/>
          <w:color w:val="000000"/>
          <w:shd w:val="clear" w:color="auto" w:fill="FFFFFF"/>
        </w:rPr>
      </w:pPr>
    </w:p>
    <w:p w14:paraId="453EE4B6" w14:textId="3F060322" w:rsidR="005642C8" w:rsidRDefault="005642C8"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_Ref111211276 \h </w:instrText>
      </w:r>
      <w:r>
        <w:rPr>
          <w:rStyle w:val="normaltextrun"/>
          <w:color w:val="000000"/>
          <w:shd w:val="clear" w:color="auto" w:fill="FFFFFF"/>
        </w:rPr>
      </w:r>
      <w:r>
        <w:rPr>
          <w:rStyle w:val="normaltextrun"/>
          <w:color w:val="000000"/>
          <w:shd w:val="clear" w:color="auto" w:fill="FFFFFF"/>
        </w:rPr>
        <w:fldChar w:fldCharType="separate"/>
      </w:r>
      <w:r w:rsidR="00D17601" w:rsidRPr="00EC4308">
        <w:rPr>
          <w:b/>
          <w:bCs/>
          <w:i/>
          <w:iCs/>
          <w:bdr w:val="none" w:sz="0" w:space="0" w:color="auto" w:frame="1"/>
        </w:rPr>
        <w:t xml:space="preserve">Proposal </w:t>
      </w:r>
      <w:r w:rsidR="00D17601">
        <w:rPr>
          <w:b/>
          <w:bCs/>
          <w:i/>
          <w:iCs/>
          <w:noProof/>
        </w:rPr>
        <w:t>1</w:t>
      </w:r>
      <w:r w:rsidR="00D17601" w:rsidRPr="00EC4308">
        <w:rPr>
          <w:b/>
          <w:bCs/>
          <w:i/>
          <w:iCs/>
          <w:bdr w:val="none" w:sz="0" w:space="0" w:color="auto" w:frame="1"/>
        </w:rPr>
        <w:t>: UE can be configured with periodic SBFD partition pattern through SIB and dedicated RRC signalling</w:t>
      </w:r>
      <w:r w:rsidR="00D17601">
        <w:rPr>
          <w:b/>
          <w:bCs/>
          <w:i/>
          <w:iCs/>
          <w:bdr w:val="none" w:sz="0" w:space="0" w:color="auto" w:frame="1"/>
        </w:rPr>
        <w:t xml:space="preserve">. </w:t>
      </w:r>
      <w:r w:rsidR="00D17601" w:rsidRPr="00EC4308">
        <w:rPr>
          <w:b/>
          <w:bCs/>
          <w:i/>
          <w:iCs/>
          <w:bdr w:val="none" w:sz="0" w:space="0" w:color="auto" w:frame="1"/>
        </w:rPr>
        <w:t>FFS: SFI dynamic indication of periodic SBFD partition pattern.</w:t>
      </w:r>
      <w:r>
        <w:rPr>
          <w:rStyle w:val="normaltextrun"/>
          <w:color w:val="000000"/>
          <w:shd w:val="clear" w:color="auto" w:fill="FFFFFF"/>
        </w:rPr>
        <w:fldChar w:fldCharType="end"/>
      </w:r>
    </w:p>
    <w:p w14:paraId="327975EF" w14:textId="65AE646D"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_Ref111210881 \h </w:instrText>
      </w:r>
      <w:r>
        <w:rPr>
          <w:rStyle w:val="normaltextrun"/>
          <w:color w:val="000000"/>
          <w:shd w:val="clear" w:color="auto" w:fill="FFFFFF"/>
        </w:rPr>
      </w:r>
      <w:r>
        <w:rPr>
          <w:rStyle w:val="normaltextrun"/>
          <w:color w:val="000000"/>
          <w:shd w:val="clear" w:color="auto" w:fill="FFFFFF"/>
        </w:rPr>
        <w:fldChar w:fldCharType="separate"/>
      </w:r>
      <w:r w:rsidR="00D17601" w:rsidRPr="003C6EA0">
        <w:rPr>
          <w:rFonts w:cstheme="minorHAnsi"/>
          <w:b/>
          <w:bCs/>
          <w:i/>
          <w:iCs/>
        </w:rPr>
        <w:t xml:space="preserve">Proposal </w:t>
      </w:r>
      <w:r w:rsidR="00D17601">
        <w:rPr>
          <w:b/>
          <w:bCs/>
          <w:i/>
          <w:iCs/>
          <w:noProof/>
        </w:rPr>
        <w:t>2</w:t>
      </w:r>
      <w:r w:rsidR="00D17601" w:rsidRPr="003C6EA0">
        <w:rPr>
          <w:rFonts w:cstheme="minorHAnsi"/>
          <w:b/>
          <w:bCs/>
          <w:i/>
          <w:iCs/>
        </w:rPr>
        <w:t>: Study enhancements to Search Space configuration which allow adaptation to SBFD partitioning.</w:t>
      </w:r>
      <w:r>
        <w:rPr>
          <w:rStyle w:val="normaltextrun"/>
          <w:color w:val="000000"/>
          <w:shd w:val="clear" w:color="auto" w:fill="FFFFFF"/>
        </w:rPr>
        <w:fldChar w:fldCharType="end"/>
      </w:r>
      <w:r>
        <w:rPr>
          <w:rStyle w:val="normaltextrun"/>
          <w:color w:val="000000"/>
          <w:shd w:val="clear" w:color="auto" w:fill="FFFFFF"/>
        </w:rPr>
        <w:t xml:space="preserve"> </w:t>
      </w:r>
    </w:p>
    <w:p w14:paraId="697F7EF0" w14:textId="0F1108CD"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_Ref111210883 \h </w:instrText>
      </w:r>
      <w:r>
        <w:rPr>
          <w:rStyle w:val="normaltextrun"/>
          <w:color w:val="000000"/>
          <w:shd w:val="clear" w:color="auto" w:fill="FFFFFF"/>
        </w:rPr>
      </w:r>
      <w:r>
        <w:rPr>
          <w:rStyle w:val="normaltextrun"/>
          <w:color w:val="000000"/>
          <w:shd w:val="clear" w:color="auto" w:fill="FFFFFF"/>
        </w:rPr>
        <w:fldChar w:fldCharType="separate"/>
      </w:r>
      <w:r w:rsidR="00D17601" w:rsidRPr="00872959">
        <w:rPr>
          <w:b/>
          <w:bCs/>
          <w:i/>
          <w:iCs/>
        </w:rPr>
        <w:t xml:space="preserve">Proposal </w:t>
      </w:r>
      <w:r w:rsidR="00D17601">
        <w:rPr>
          <w:b/>
          <w:bCs/>
          <w:i/>
          <w:iCs/>
          <w:noProof/>
        </w:rPr>
        <w:t>3</w:t>
      </w:r>
      <w:r w:rsidR="00D17601" w:rsidRPr="00872959">
        <w:rPr>
          <w:b/>
          <w:bCs/>
          <w:i/>
          <w:iCs/>
        </w:rPr>
        <w:t>: Based on the knowledge of partitioned slots/symbols and the boundary between DL and UL subbands, support Type-0 FDRA comprising fractional RBGs at such boundary.</w:t>
      </w:r>
      <w:r>
        <w:rPr>
          <w:rStyle w:val="normaltextrun"/>
          <w:color w:val="000000"/>
          <w:shd w:val="clear" w:color="auto" w:fill="FFFFFF"/>
        </w:rPr>
        <w:fldChar w:fldCharType="end"/>
      </w:r>
      <w:r>
        <w:rPr>
          <w:rStyle w:val="normaltextrun"/>
          <w:color w:val="000000"/>
          <w:shd w:val="clear" w:color="auto" w:fill="FFFFFF"/>
        </w:rPr>
        <w:t xml:space="preserve"> </w:t>
      </w:r>
    </w:p>
    <w:p w14:paraId="5BDF854E" w14:textId="5F003A5E"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_Ref111210886 \h </w:instrText>
      </w:r>
      <w:r>
        <w:rPr>
          <w:rStyle w:val="normaltextrun"/>
          <w:color w:val="000000"/>
          <w:shd w:val="clear" w:color="auto" w:fill="FFFFFF"/>
        </w:rPr>
      </w:r>
      <w:r>
        <w:rPr>
          <w:rStyle w:val="normaltextrun"/>
          <w:color w:val="000000"/>
          <w:shd w:val="clear" w:color="auto" w:fill="FFFFFF"/>
        </w:rPr>
        <w:fldChar w:fldCharType="separate"/>
      </w:r>
      <w:r w:rsidR="00D17601" w:rsidRPr="00872959">
        <w:rPr>
          <w:b/>
          <w:bCs/>
          <w:i/>
          <w:iCs/>
        </w:rPr>
        <w:t xml:space="preserve">Proposal </w:t>
      </w:r>
      <w:r w:rsidR="00D17601">
        <w:rPr>
          <w:b/>
          <w:bCs/>
          <w:i/>
          <w:iCs/>
          <w:noProof/>
        </w:rPr>
        <w:t>4</w:t>
      </w:r>
      <w:r w:rsidR="00D17601" w:rsidRPr="00872959">
        <w:rPr>
          <w:b/>
          <w:bCs/>
          <w:i/>
          <w:iCs/>
        </w:rPr>
        <w:t>: Support interleaved mapping of odd and even VRBs over physical RBGs allocated using Type-0 FDRA.</w:t>
      </w:r>
      <w:r>
        <w:rPr>
          <w:rStyle w:val="normaltextrun"/>
          <w:color w:val="000000"/>
          <w:shd w:val="clear" w:color="auto" w:fill="FFFFFF"/>
        </w:rPr>
        <w:fldChar w:fldCharType="end"/>
      </w:r>
      <w:r>
        <w:rPr>
          <w:rStyle w:val="normaltextrun"/>
          <w:color w:val="000000"/>
          <w:shd w:val="clear" w:color="auto" w:fill="FFFFFF"/>
        </w:rPr>
        <w:t xml:space="preserve"> </w:t>
      </w:r>
    </w:p>
    <w:p w14:paraId="760E83C4" w14:textId="2D71F6B8"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_Ref111210888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Proposal </w:t>
      </w:r>
      <w:r w:rsidR="00D17601">
        <w:rPr>
          <w:b/>
          <w:bCs/>
          <w:i/>
          <w:iCs/>
          <w:noProof/>
        </w:rPr>
        <w:t>5</w:t>
      </w:r>
      <w:r w:rsidR="00D17601">
        <w:rPr>
          <w:b/>
          <w:bCs/>
          <w:i/>
          <w:iCs/>
        </w:rPr>
        <w:t xml:space="preserve">: </w:t>
      </w:r>
      <w:r w:rsidR="00D17601" w:rsidRPr="00B43DFE">
        <w:rPr>
          <w:b/>
          <w:bCs/>
          <w:i/>
          <w:iCs/>
        </w:rPr>
        <w:t>Support two FDRA for CG-PUSCH transmission based on slot type</w:t>
      </w:r>
      <w:r w:rsidR="00D17601">
        <w:rPr>
          <w:b/>
          <w:bCs/>
          <w:i/>
          <w:iCs/>
        </w:rPr>
        <w:t>.</w:t>
      </w:r>
      <w:r>
        <w:rPr>
          <w:rStyle w:val="normaltextrun"/>
          <w:color w:val="000000"/>
          <w:shd w:val="clear" w:color="auto" w:fill="FFFFFF"/>
        </w:rPr>
        <w:fldChar w:fldCharType="end"/>
      </w:r>
      <w:r>
        <w:rPr>
          <w:rStyle w:val="normaltextrun"/>
          <w:color w:val="000000"/>
          <w:shd w:val="clear" w:color="auto" w:fill="FFFFFF"/>
        </w:rPr>
        <w:t xml:space="preserve"> </w:t>
      </w:r>
    </w:p>
    <w:p w14:paraId="0DE93F0E" w14:textId="5B3468EF"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_Ref111210890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Proposal </w:t>
      </w:r>
      <w:r w:rsidR="00D17601">
        <w:rPr>
          <w:b/>
          <w:bCs/>
          <w:i/>
          <w:iCs/>
          <w:noProof/>
        </w:rPr>
        <w:t>6</w:t>
      </w:r>
      <w:r w:rsidR="00D17601">
        <w:rPr>
          <w:b/>
          <w:bCs/>
          <w:i/>
          <w:iCs/>
        </w:rPr>
        <w:t xml:space="preserve">: </w:t>
      </w:r>
      <w:r w:rsidR="00D17601">
        <w:rPr>
          <w:b/>
          <w:bCs/>
          <w:i/>
          <w:iCs/>
          <w:lang w:eastAsia="en-GB"/>
        </w:rPr>
        <w:t>Support skipping of periodic transmissions (e.g., CG-PUSCH) in SBFD slots</w:t>
      </w:r>
      <w:r w:rsidR="00D17601">
        <w:rPr>
          <w:b/>
          <w:bCs/>
          <w:i/>
          <w:iCs/>
        </w:rPr>
        <w:t>.</w:t>
      </w:r>
      <w:r>
        <w:rPr>
          <w:rStyle w:val="normaltextrun"/>
          <w:color w:val="000000"/>
          <w:shd w:val="clear" w:color="auto" w:fill="FFFFFF"/>
        </w:rPr>
        <w:fldChar w:fldCharType="end"/>
      </w:r>
      <w:r>
        <w:rPr>
          <w:rStyle w:val="normaltextrun"/>
          <w:color w:val="000000"/>
          <w:shd w:val="clear" w:color="auto" w:fill="FFFFFF"/>
        </w:rPr>
        <w:t xml:space="preserve"> </w:t>
      </w:r>
    </w:p>
    <w:p w14:paraId="644B4531" w14:textId="16820004"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_Ref111210891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Proposal </w:t>
      </w:r>
      <w:r w:rsidR="00D17601">
        <w:rPr>
          <w:b/>
          <w:bCs/>
          <w:i/>
          <w:iCs/>
          <w:noProof/>
        </w:rPr>
        <w:t>7</w:t>
      </w:r>
      <w:r w:rsidR="00D17601">
        <w:rPr>
          <w:b/>
          <w:bCs/>
          <w:i/>
          <w:iCs/>
        </w:rPr>
        <w:t>:</w:t>
      </w:r>
      <w:r w:rsidR="00D17601" w:rsidRPr="00652026">
        <w:rPr>
          <w:b/>
          <w:bCs/>
          <w:i/>
          <w:iCs/>
          <w:lang w:eastAsia="en-GB"/>
        </w:rPr>
        <w:t xml:space="preserve"> </w:t>
      </w:r>
      <w:r w:rsidR="00D17601">
        <w:rPr>
          <w:b/>
          <w:bCs/>
          <w:i/>
          <w:iCs/>
          <w:lang w:eastAsia="en-GB"/>
        </w:rPr>
        <w:t>Support two FDRA for DG-PUSCH repetition based on slot type</w:t>
      </w:r>
      <w:r w:rsidR="00D17601">
        <w:rPr>
          <w:b/>
          <w:bCs/>
          <w:i/>
          <w:iCs/>
        </w:rPr>
        <w:t>.</w:t>
      </w:r>
      <w:r>
        <w:rPr>
          <w:rStyle w:val="normaltextrun"/>
          <w:color w:val="000000"/>
          <w:shd w:val="clear" w:color="auto" w:fill="FFFFFF"/>
        </w:rPr>
        <w:fldChar w:fldCharType="end"/>
      </w:r>
      <w:r>
        <w:rPr>
          <w:rStyle w:val="normaltextrun"/>
          <w:color w:val="000000"/>
          <w:shd w:val="clear" w:color="auto" w:fill="FFFFFF"/>
        </w:rPr>
        <w:t xml:space="preserve"> </w:t>
      </w:r>
    </w:p>
    <w:p w14:paraId="35A5DFD8" w14:textId="151FC032"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_Ref111210893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Proposal </w:t>
      </w:r>
      <w:r w:rsidR="00D17601">
        <w:rPr>
          <w:b/>
          <w:bCs/>
          <w:i/>
          <w:iCs/>
          <w:noProof/>
        </w:rPr>
        <w:t>8</w:t>
      </w:r>
      <w:r w:rsidR="00D17601">
        <w:rPr>
          <w:b/>
          <w:bCs/>
          <w:i/>
          <w:iCs/>
        </w:rPr>
        <w:t>:</w:t>
      </w:r>
      <w:r w:rsidR="00D17601">
        <w:rPr>
          <w:b/>
          <w:bCs/>
          <w:i/>
          <w:iCs/>
          <w:lang w:eastAsia="en-GB"/>
        </w:rPr>
        <w:t xml:space="preserve"> Allow the support of skipping of PUSCH repetition that occurs in SBFD slots</w:t>
      </w:r>
      <w:r w:rsidR="00D17601">
        <w:rPr>
          <w:b/>
          <w:bCs/>
          <w:i/>
          <w:iCs/>
        </w:rPr>
        <w:t>.</w:t>
      </w:r>
      <w:r>
        <w:rPr>
          <w:rStyle w:val="normaltextrun"/>
          <w:color w:val="000000"/>
          <w:shd w:val="clear" w:color="auto" w:fill="FFFFFF"/>
        </w:rPr>
        <w:fldChar w:fldCharType="end"/>
      </w:r>
      <w:r>
        <w:rPr>
          <w:rStyle w:val="normaltextrun"/>
          <w:color w:val="000000"/>
          <w:shd w:val="clear" w:color="auto" w:fill="FFFFFF"/>
        </w:rPr>
        <w:t xml:space="preserve"> </w:t>
      </w:r>
    </w:p>
    <w:p w14:paraId="6E8FF0DF" w14:textId="12429AEC"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_Ref111210895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Proposal </w:t>
      </w:r>
      <w:r w:rsidR="00D17601">
        <w:rPr>
          <w:b/>
          <w:bCs/>
          <w:i/>
          <w:iCs/>
          <w:noProof/>
        </w:rPr>
        <w:t>9</w:t>
      </w:r>
      <w:r w:rsidR="00D17601">
        <w:rPr>
          <w:b/>
          <w:bCs/>
          <w:i/>
          <w:iCs/>
        </w:rPr>
        <w:t>:</w:t>
      </w:r>
      <w:r w:rsidR="00D17601">
        <w:rPr>
          <w:b/>
          <w:bCs/>
          <w:i/>
          <w:iCs/>
          <w:lang w:eastAsia="en-GB"/>
        </w:rPr>
        <w:t xml:space="preserve"> </w:t>
      </w:r>
      <w:r w:rsidR="00D17601" w:rsidRPr="00D34584">
        <w:rPr>
          <w:b/>
          <w:bCs/>
          <w:i/>
          <w:iCs/>
          <w:lang w:eastAsia="en-GB"/>
        </w:rPr>
        <w:t>Modify the frequency hopping procedure for intra-slot</w:t>
      </w:r>
      <w:r w:rsidR="00D17601">
        <w:rPr>
          <w:b/>
          <w:bCs/>
          <w:i/>
          <w:iCs/>
          <w:lang w:eastAsia="en-GB"/>
        </w:rPr>
        <w:t xml:space="preserve"> and inter-slot</w:t>
      </w:r>
      <w:r w:rsidR="00D17601" w:rsidRPr="00D34584">
        <w:rPr>
          <w:b/>
          <w:bCs/>
          <w:i/>
          <w:iCs/>
          <w:lang w:eastAsia="en-GB"/>
        </w:rPr>
        <w:t xml:space="preserve"> frequency hopping to enable frequency hopping that is confined within the UL-SB in the SBFD slots</w:t>
      </w:r>
      <w:r w:rsidR="00D17601">
        <w:rPr>
          <w:b/>
          <w:bCs/>
          <w:i/>
          <w:iCs/>
        </w:rPr>
        <w:t>.</w:t>
      </w:r>
      <w:r>
        <w:rPr>
          <w:rStyle w:val="normaltextrun"/>
          <w:color w:val="000000"/>
          <w:shd w:val="clear" w:color="auto" w:fill="FFFFFF"/>
        </w:rPr>
        <w:fldChar w:fldCharType="end"/>
      </w:r>
    </w:p>
    <w:p w14:paraId="099E6098" w14:textId="0E7D4390"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_Ref111210896 \h </w:instrText>
      </w:r>
      <w:r>
        <w:rPr>
          <w:rStyle w:val="normaltextrun"/>
          <w:color w:val="000000"/>
          <w:shd w:val="clear" w:color="auto" w:fill="FFFFFF"/>
        </w:rPr>
      </w:r>
      <w:r>
        <w:rPr>
          <w:rStyle w:val="normaltextrun"/>
          <w:color w:val="000000"/>
          <w:shd w:val="clear" w:color="auto" w:fill="FFFFFF"/>
        </w:rPr>
        <w:fldChar w:fldCharType="separate"/>
      </w:r>
      <w:r w:rsidR="00D17601">
        <w:rPr>
          <w:b/>
          <w:bCs/>
          <w:i/>
          <w:iCs/>
        </w:rPr>
        <w:t xml:space="preserve">Proposal </w:t>
      </w:r>
      <w:r w:rsidR="00D17601">
        <w:rPr>
          <w:b/>
          <w:bCs/>
          <w:i/>
          <w:iCs/>
          <w:noProof/>
        </w:rPr>
        <w:t>10</w:t>
      </w:r>
      <w:r w:rsidR="00D17601">
        <w:rPr>
          <w:b/>
          <w:bCs/>
          <w:i/>
          <w:iCs/>
        </w:rPr>
        <w:t>:</w:t>
      </w:r>
      <w:r w:rsidR="00D17601">
        <w:rPr>
          <w:b/>
          <w:bCs/>
          <w:i/>
          <w:iCs/>
          <w:lang w:eastAsia="en-GB"/>
        </w:rPr>
        <w:t xml:space="preserve"> </w:t>
      </w:r>
      <w:r w:rsidR="00D17601" w:rsidRPr="005A57CB">
        <w:rPr>
          <w:b/>
          <w:bCs/>
          <w:i/>
          <w:iCs/>
          <w:lang w:eastAsia="en-GB"/>
        </w:rPr>
        <w:t>Support frequency hopping in the UL-only slots for inter-slot frequency hopping</w:t>
      </w:r>
      <w:r w:rsidR="00D17601">
        <w:rPr>
          <w:b/>
          <w:bCs/>
          <w:i/>
          <w:iCs/>
        </w:rPr>
        <w:t>.</w:t>
      </w:r>
      <w:r>
        <w:rPr>
          <w:rStyle w:val="normaltextrun"/>
          <w:color w:val="000000"/>
          <w:shd w:val="clear" w:color="auto" w:fill="FFFFFF"/>
        </w:rPr>
        <w:fldChar w:fldCharType="end"/>
      </w:r>
    </w:p>
    <w:p w14:paraId="5BC061C1" w14:textId="43E8C42D"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_Ref111210898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rFonts w:eastAsia="Times New Roman"/>
          <w:b/>
          <w:bCs/>
          <w:i/>
          <w:iCs/>
          <w:lang w:eastAsia="da-DK"/>
        </w:rPr>
        <w:t xml:space="preserve">Proposal </w:t>
      </w:r>
      <w:r w:rsidR="00D17601">
        <w:rPr>
          <w:b/>
          <w:bCs/>
          <w:i/>
          <w:iCs/>
          <w:noProof/>
        </w:rPr>
        <w:t>11</w:t>
      </w:r>
      <w:r w:rsidR="00D17601" w:rsidRPr="00B24276">
        <w:rPr>
          <w:rFonts w:eastAsia="Times New Roman"/>
          <w:b/>
          <w:bCs/>
          <w:i/>
          <w:iCs/>
          <w:lang w:eastAsia="da-DK"/>
        </w:rPr>
        <w:t>: Study whether SRS-RSRP-based ranking of UE aggressor candidates is sufficient for the optimization of UL-DL inter-subband CLI.</w:t>
      </w:r>
      <w:r>
        <w:rPr>
          <w:rStyle w:val="normaltextrun"/>
          <w:color w:val="000000"/>
          <w:shd w:val="clear" w:color="auto" w:fill="FFFFFF"/>
        </w:rPr>
        <w:fldChar w:fldCharType="end"/>
      </w:r>
      <w:r>
        <w:rPr>
          <w:rStyle w:val="normaltextrun"/>
          <w:color w:val="000000"/>
          <w:shd w:val="clear" w:color="auto" w:fill="FFFFFF"/>
        </w:rPr>
        <w:t xml:space="preserve"> </w:t>
      </w:r>
    </w:p>
    <w:p w14:paraId="06D875AE" w14:textId="3267DB35"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_Ref111210902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rFonts w:eastAsia="Times New Roman"/>
          <w:b/>
          <w:bCs/>
          <w:i/>
          <w:iCs/>
          <w:lang w:eastAsia="da-DK"/>
        </w:rPr>
        <w:t xml:space="preserve">Proposal </w:t>
      </w:r>
      <w:r w:rsidR="00D17601">
        <w:rPr>
          <w:b/>
          <w:bCs/>
          <w:i/>
          <w:iCs/>
          <w:noProof/>
        </w:rPr>
        <w:t>12</w:t>
      </w:r>
      <w:r w:rsidR="00D17601" w:rsidRPr="00B24276">
        <w:rPr>
          <w:rFonts w:eastAsia="Times New Roman"/>
          <w:b/>
          <w:bCs/>
          <w:i/>
          <w:iCs/>
          <w:lang w:eastAsia="da-DK"/>
        </w:rPr>
        <w:t>: Study the feasibility and cost of muting co-channel interferer for the assessment of inter-subband UE CLI using CLI-RSSI measurements.</w:t>
      </w:r>
      <w:r>
        <w:rPr>
          <w:rStyle w:val="normaltextrun"/>
          <w:color w:val="000000"/>
          <w:shd w:val="clear" w:color="auto" w:fill="FFFFFF"/>
        </w:rPr>
        <w:fldChar w:fldCharType="end"/>
      </w:r>
      <w:r>
        <w:rPr>
          <w:rStyle w:val="normaltextrun"/>
          <w:color w:val="000000"/>
          <w:shd w:val="clear" w:color="auto" w:fill="FFFFFF"/>
        </w:rPr>
        <w:t xml:space="preserve"> </w:t>
      </w:r>
    </w:p>
    <w:p w14:paraId="78A1D08A" w14:textId="3F68B7C7"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_Ref111210904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Proposal </w:t>
      </w:r>
      <w:r w:rsidR="00D17601">
        <w:rPr>
          <w:b/>
          <w:bCs/>
          <w:i/>
          <w:iCs/>
          <w:noProof/>
        </w:rPr>
        <w:t>13</w:t>
      </w:r>
      <w:r w:rsidR="00D17601" w:rsidRPr="00B24276">
        <w:rPr>
          <w:b/>
          <w:bCs/>
          <w:i/>
          <w:iCs/>
        </w:rPr>
        <w:t>: Study the need for Layer-1 UE-UE CLI measurement, and the details of its features.</w:t>
      </w:r>
      <w:r>
        <w:rPr>
          <w:rStyle w:val="normaltextrun"/>
          <w:color w:val="000000"/>
          <w:shd w:val="clear" w:color="auto" w:fill="FFFFFF"/>
        </w:rPr>
        <w:fldChar w:fldCharType="end"/>
      </w:r>
      <w:r>
        <w:rPr>
          <w:rStyle w:val="normaltextrun"/>
          <w:color w:val="000000"/>
          <w:shd w:val="clear" w:color="auto" w:fill="FFFFFF"/>
        </w:rPr>
        <w:t xml:space="preserve"> </w:t>
      </w:r>
    </w:p>
    <w:p w14:paraId="70A0BBB9" w14:textId="57204D70"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_Ref111210907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Proposal </w:t>
      </w:r>
      <w:r w:rsidR="00D17601">
        <w:rPr>
          <w:b/>
          <w:bCs/>
          <w:i/>
          <w:iCs/>
          <w:noProof/>
        </w:rPr>
        <w:t>14</w:t>
      </w:r>
      <w:r w:rsidR="00D17601" w:rsidRPr="00B24276">
        <w:rPr>
          <w:b/>
          <w:bCs/>
          <w:i/>
          <w:iCs/>
        </w:rPr>
        <w:t>: RAN1 to study the feasibility of using “reverse” UE-UE CLI measurement to protect legacy UEs not supporting such measurements.</w:t>
      </w:r>
      <w:r>
        <w:rPr>
          <w:rStyle w:val="normaltextrun"/>
          <w:color w:val="000000"/>
          <w:shd w:val="clear" w:color="auto" w:fill="FFFFFF"/>
        </w:rPr>
        <w:fldChar w:fldCharType="end"/>
      </w:r>
      <w:r>
        <w:rPr>
          <w:rStyle w:val="normaltextrun"/>
          <w:color w:val="000000"/>
          <w:shd w:val="clear" w:color="auto" w:fill="FFFFFF"/>
        </w:rPr>
        <w:t xml:space="preserve"> </w:t>
      </w:r>
    </w:p>
    <w:p w14:paraId="637D73B6" w14:textId="7D75CB72"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_Ref111210909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Proposal </w:t>
      </w:r>
      <w:r w:rsidR="00D17601">
        <w:rPr>
          <w:b/>
          <w:bCs/>
          <w:i/>
          <w:iCs/>
          <w:noProof/>
        </w:rPr>
        <w:t>15</w:t>
      </w:r>
      <w:r w:rsidR="00D17601" w:rsidRPr="00B24276">
        <w:rPr>
          <w:b/>
          <w:bCs/>
          <w:i/>
          <w:iCs/>
        </w:rPr>
        <w:t>: UE reports SRS-RSRP (or CLI-RSSI) per Rx antenna separately.</w:t>
      </w:r>
      <w:r>
        <w:rPr>
          <w:rStyle w:val="normaltextrun"/>
          <w:color w:val="000000"/>
          <w:shd w:val="clear" w:color="auto" w:fill="FFFFFF"/>
        </w:rPr>
        <w:fldChar w:fldCharType="end"/>
      </w:r>
      <w:r>
        <w:rPr>
          <w:rStyle w:val="normaltextrun"/>
          <w:color w:val="000000"/>
          <w:shd w:val="clear" w:color="auto" w:fill="FFFFFF"/>
        </w:rPr>
        <w:t xml:space="preserve"> </w:t>
      </w:r>
    </w:p>
    <w:p w14:paraId="24491599" w14:textId="60C0B35E"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_Ref111210911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Proposal </w:t>
      </w:r>
      <w:r w:rsidR="00D17601">
        <w:rPr>
          <w:b/>
          <w:bCs/>
          <w:i/>
          <w:iCs/>
          <w:noProof/>
        </w:rPr>
        <w:t>16</w:t>
      </w:r>
      <w:r w:rsidR="00D17601" w:rsidRPr="00B24276">
        <w:rPr>
          <w:b/>
          <w:bCs/>
          <w:i/>
          <w:iCs/>
        </w:rPr>
        <w:t>: SRS-RSRP measurement resource can be configured to report an aggregate SRS-RSRP value measured over a set of SRS resources.</w:t>
      </w:r>
      <w:r>
        <w:rPr>
          <w:rStyle w:val="normaltextrun"/>
          <w:color w:val="000000"/>
          <w:shd w:val="clear" w:color="auto" w:fill="FFFFFF"/>
        </w:rPr>
        <w:fldChar w:fldCharType="end"/>
      </w:r>
      <w:r>
        <w:rPr>
          <w:rStyle w:val="normaltextrun"/>
          <w:color w:val="000000"/>
          <w:shd w:val="clear" w:color="auto" w:fill="FFFFFF"/>
        </w:rPr>
        <w:t xml:space="preserve"> </w:t>
      </w:r>
    </w:p>
    <w:p w14:paraId="55F42369" w14:textId="16901D72" w:rsidR="003435BA" w:rsidRDefault="003435BA" w:rsidP="00F9014A">
      <w:pPr>
        <w:spacing w:after="60"/>
        <w:jc w:val="both"/>
        <w:rPr>
          <w:rStyle w:val="normaltextrun"/>
          <w:color w:val="000000"/>
          <w:shd w:val="clear" w:color="auto" w:fill="FFFFFF"/>
        </w:rPr>
      </w:pPr>
      <w:r>
        <w:rPr>
          <w:rStyle w:val="normaltextrun"/>
          <w:color w:val="000000"/>
          <w:shd w:val="clear" w:color="auto" w:fill="FFFFFF"/>
        </w:rPr>
        <w:fldChar w:fldCharType="begin"/>
      </w:r>
      <w:r>
        <w:rPr>
          <w:rStyle w:val="normaltextrun"/>
          <w:color w:val="000000"/>
          <w:shd w:val="clear" w:color="auto" w:fill="FFFFFF"/>
        </w:rPr>
        <w:instrText xml:space="preserve"> REF _Ref111210914 \h </w:instrText>
      </w:r>
      <w:r>
        <w:rPr>
          <w:rStyle w:val="normaltextrun"/>
          <w:color w:val="000000"/>
          <w:shd w:val="clear" w:color="auto" w:fill="FFFFFF"/>
        </w:rPr>
      </w:r>
      <w:r>
        <w:rPr>
          <w:rStyle w:val="normaltextrun"/>
          <w:color w:val="000000"/>
          <w:shd w:val="clear" w:color="auto" w:fill="FFFFFF"/>
        </w:rPr>
        <w:fldChar w:fldCharType="separate"/>
      </w:r>
      <w:r w:rsidR="00D17601" w:rsidRPr="00B24276">
        <w:rPr>
          <w:b/>
          <w:bCs/>
          <w:i/>
          <w:iCs/>
        </w:rPr>
        <w:t xml:space="preserve">Proposal </w:t>
      </w:r>
      <w:r w:rsidR="00D17601">
        <w:rPr>
          <w:b/>
          <w:bCs/>
          <w:i/>
          <w:iCs/>
          <w:noProof/>
        </w:rPr>
        <w:t>17</w:t>
      </w:r>
      <w:r w:rsidR="00D17601" w:rsidRPr="00B24276">
        <w:rPr>
          <w:b/>
          <w:bCs/>
          <w:i/>
          <w:iCs/>
        </w:rPr>
        <w:t>: SRS-RSRP measurement</w:t>
      </w:r>
      <w:r w:rsidR="00D17601">
        <w:rPr>
          <w:b/>
          <w:bCs/>
          <w:i/>
          <w:iCs/>
        </w:rPr>
        <w:t xml:space="preserve"> </w:t>
      </w:r>
      <w:r w:rsidR="00D17601" w:rsidRPr="00B24276">
        <w:rPr>
          <w:b/>
          <w:bCs/>
          <w:i/>
          <w:iCs/>
        </w:rPr>
        <w:t>can be configured with QCL-TypeD (spatial relationship information).</w:t>
      </w:r>
      <w:r>
        <w:rPr>
          <w:rStyle w:val="normaltextrun"/>
          <w:color w:val="000000"/>
          <w:shd w:val="clear" w:color="auto" w:fill="FFFFFF"/>
        </w:rPr>
        <w:fldChar w:fldCharType="end"/>
      </w:r>
    </w:p>
    <w:p w14:paraId="53CD9119" w14:textId="5206E1F5" w:rsidR="00885580" w:rsidRPr="00297284" w:rsidRDefault="00885580" w:rsidP="00885580">
      <w:pPr>
        <w:pStyle w:val="Heading1"/>
        <w:numPr>
          <w:ilvl w:val="0"/>
          <w:numId w:val="0"/>
        </w:numPr>
      </w:pPr>
      <w:r w:rsidRPr="00297284">
        <w:t>References</w:t>
      </w:r>
    </w:p>
    <w:p w14:paraId="188215D1" w14:textId="518BBF0D" w:rsidR="00C0219C" w:rsidRPr="00297284" w:rsidRDefault="00C0219C" w:rsidP="006F572E">
      <w:pPr>
        <w:pStyle w:val="ListParagraph"/>
        <w:numPr>
          <w:ilvl w:val="0"/>
          <w:numId w:val="4"/>
        </w:numPr>
        <w:rPr>
          <w:sz w:val="20"/>
          <w:szCs w:val="20"/>
          <w:lang w:val="en-GB"/>
        </w:rPr>
      </w:pPr>
      <w:r w:rsidRPr="00297284">
        <w:rPr>
          <w:sz w:val="20"/>
          <w:szCs w:val="20"/>
          <w:lang w:val="en-GB"/>
        </w:rPr>
        <w:t>RP-220633, Study on Evolution of NR Duplex Operation, CMCC</w:t>
      </w:r>
    </w:p>
    <w:p w14:paraId="05229EC2" w14:textId="02264AB7" w:rsidR="00F84A57" w:rsidRPr="008D559D" w:rsidRDefault="0077757C" w:rsidP="006F572E">
      <w:pPr>
        <w:pStyle w:val="ListParagraph"/>
        <w:numPr>
          <w:ilvl w:val="0"/>
          <w:numId w:val="4"/>
        </w:numPr>
        <w:rPr>
          <w:sz w:val="20"/>
          <w:szCs w:val="20"/>
          <w:lang w:val="en-GB"/>
        </w:rPr>
      </w:pPr>
      <w:bookmarkStart w:id="46" w:name="_Ref110508616"/>
      <w:r w:rsidRPr="008D559D">
        <w:rPr>
          <w:sz w:val="20"/>
          <w:szCs w:val="20"/>
          <w:lang w:val="en-GB"/>
        </w:rPr>
        <w:t>3GPP TR 38.</w:t>
      </w:r>
      <w:r w:rsidR="00E52C85" w:rsidRPr="008D559D">
        <w:rPr>
          <w:sz w:val="20"/>
          <w:szCs w:val="20"/>
          <w:lang w:val="en-GB"/>
        </w:rPr>
        <w:t>331</w:t>
      </w:r>
      <w:r w:rsidR="00860745" w:rsidRPr="008D559D">
        <w:rPr>
          <w:sz w:val="20"/>
          <w:szCs w:val="20"/>
          <w:lang w:val="en-GB"/>
        </w:rPr>
        <w:t xml:space="preserve">, </w:t>
      </w:r>
      <w:r w:rsidR="00E52C85" w:rsidRPr="008D559D">
        <w:rPr>
          <w:sz w:val="20"/>
          <w:szCs w:val="20"/>
          <w:lang w:val="en-GB"/>
        </w:rPr>
        <w:t>Radio Resource Control (RRC) protocol specification V17.0</w:t>
      </w:r>
      <w:bookmarkEnd w:id="46"/>
    </w:p>
    <w:sectPr w:rsidR="00F84A57" w:rsidRPr="008D559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29D0" w14:textId="77777777" w:rsidR="0023288C" w:rsidRDefault="0023288C">
      <w:r>
        <w:separator/>
      </w:r>
    </w:p>
  </w:endnote>
  <w:endnote w:type="continuationSeparator" w:id="0">
    <w:p w14:paraId="156337B6" w14:textId="77777777" w:rsidR="0023288C" w:rsidRDefault="0023288C">
      <w:r>
        <w:continuationSeparator/>
      </w:r>
    </w:p>
  </w:endnote>
  <w:endnote w:type="continuationNotice" w:id="1">
    <w:p w14:paraId="7E33D974" w14:textId="77777777" w:rsidR="0023288C" w:rsidRDefault="00232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6E891" w14:textId="77777777" w:rsidR="0023288C" w:rsidRDefault="0023288C">
      <w:r>
        <w:separator/>
      </w:r>
    </w:p>
  </w:footnote>
  <w:footnote w:type="continuationSeparator" w:id="0">
    <w:p w14:paraId="02C8BD8E" w14:textId="77777777" w:rsidR="0023288C" w:rsidRDefault="0023288C">
      <w:r>
        <w:continuationSeparator/>
      </w:r>
    </w:p>
  </w:footnote>
  <w:footnote w:type="continuationNotice" w:id="1">
    <w:p w14:paraId="6702B4AB" w14:textId="77777777" w:rsidR="0023288C" w:rsidRDefault="002328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4B5C"/>
    <w:multiLevelType w:val="hybridMultilevel"/>
    <w:tmpl w:val="90687696"/>
    <w:lvl w:ilvl="0" w:tplc="8EB66C7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D0148"/>
    <w:multiLevelType w:val="hybridMultilevel"/>
    <w:tmpl w:val="8DE289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484106"/>
    <w:multiLevelType w:val="hybridMultilevel"/>
    <w:tmpl w:val="AA007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46B5A"/>
    <w:multiLevelType w:val="multilevel"/>
    <w:tmpl w:val="4E94F8CE"/>
    <w:lvl w:ilvl="0">
      <w:numFmt w:val="bullet"/>
      <w:lvlText w:val="-"/>
      <w:lvlJc w:val="left"/>
      <w:pPr>
        <w:tabs>
          <w:tab w:val="num" w:pos="360"/>
        </w:tabs>
        <w:ind w:left="360" w:hanging="360"/>
      </w:pPr>
      <w:rPr>
        <w:rFonts w:ascii="Calibri" w:eastAsia="Calibri" w:hAnsi="Calibri" w:cs="Calibri"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2B2690C"/>
    <w:multiLevelType w:val="hybridMultilevel"/>
    <w:tmpl w:val="7AD6C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C2BF6"/>
    <w:multiLevelType w:val="hybridMultilevel"/>
    <w:tmpl w:val="B82627E8"/>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E80546"/>
    <w:multiLevelType w:val="hybridMultilevel"/>
    <w:tmpl w:val="E02EC1AC"/>
    <w:lvl w:ilvl="0" w:tplc="8D66168A">
      <w:start w:val="1"/>
      <w:numFmt w:val="bullet"/>
      <w:lvlText w:val="•"/>
      <w:lvlJc w:val="left"/>
      <w:pPr>
        <w:tabs>
          <w:tab w:val="num" w:pos="720"/>
        </w:tabs>
        <w:ind w:left="720" w:hanging="360"/>
      </w:pPr>
      <w:rPr>
        <w:rFonts w:ascii="Arial" w:hAnsi="Arial" w:hint="default"/>
      </w:rPr>
    </w:lvl>
    <w:lvl w:ilvl="1" w:tplc="224C1DB2" w:tentative="1">
      <w:start w:val="1"/>
      <w:numFmt w:val="bullet"/>
      <w:lvlText w:val="•"/>
      <w:lvlJc w:val="left"/>
      <w:pPr>
        <w:tabs>
          <w:tab w:val="num" w:pos="1440"/>
        </w:tabs>
        <w:ind w:left="1440" w:hanging="360"/>
      </w:pPr>
      <w:rPr>
        <w:rFonts w:ascii="Arial" w:hAnsi="Arial" w:hint="default"/>
      </w:rPr>
    </w:lvl>
    <w:lvl w:ilvl="2" w:tplc="A5D2D3C8" w:tentative="1">
      <w:start w:val="1"/>
      <w:numFmt w:val="bullet"/>
      <w:lvlText w:val="•"/>
      <w:lvlJc w:val="left"/>
      <w:pPr>
        <w:tabs>
          <w:tab w:val="num" w:pos="2160"/>
        </w:tabs>
        <w:ind w:left="2160" w:hanging="360"/>
      </w:pPr>
      <w:rPr>
        <w:rFonts w:ascii="Arial" w:hAnsi="Arial" w:hint="default"/>
      </w:rPr>
    </w:lvl>
    <w:lvl w:ilvl="3" w:tplc="4DAAF6CA" w:tentative="1">
      <w:start w:val="1"/>
      <w:numFmt w:val="bullet"/>
      <w:lvlText w:val="•"/>
      <w:lvlJc w:val="left"/>
      <w:pPr>
        <w:tabs>
          <w:tab w:val="num" w:pos="2880"/>
        </w:tabs>
        <w:ind w:left="2880" w:hanging="360"/>
      </w:pPr>
      <w:rPr>
        <w:rFonts w:ascii="Arial" w:hAnsi="Arial" w:hint="default"/>
      </w:rPr>
    </w:lvl>
    <w:lvl w:ilvl="4" w:tplc="28C8D57E" w:tentative="1">
      <w:start w:val="1"/>
      <w:numFmt w:val="bullet"/>
      <w:lvlText w:val="•"/>
      <w:lvlJc w:val="left"/>
      <w:pPr>
        <w:tabs>
          <w:tab w:val="num" w:pos="3600"/>
        </w:tabs>
        <w:ind w:left="3600" w:hanging="360"/>
      </w:pPr>
      <w:rPr>
        <w:rFonts w:ascii="Arial" w:hAnsi="Arial" w:hint="default"/>
      </w:rPr>
    </w:lvl>
    <w:lvl w:ilvl="5" w:tplc="F140E774" w:tentative="1">
      <w:start w:val="1"/>
      <w:numFmt w:val="bullet"/>
      <w:lvlText w:val="•"/>
      <w:lvlJc w:val="left"/>
      <w:pPr>
        <w:tabs>
          <w:tab w:val="num" w:pos="4320"/>
        </w:tabs>
        <w:ind w:left="4320" w:hanging="360"/>
      </w:pPr>
      <w:rPr>
        <w:rFonts w:ascii="Arial" w:hAnsi="Arial" w:hint="default"/>
      </w:rPr>
    </w:lvl>
    <w:lvl w:ilvl="6" w:tplc="CA6AF254" w:tentative="1">
      <w:start w:val="1"/>
      <w:numFmt w:val="bullet"/>
      <w:lvlText w:val="•"/>
      <w:lvlJc w:val="left"/>
      <w:pPr>
        <w:tabs>
          <w:tab w:val="num" w:pos="5040"/>
        </w:tabs>
        <w:ind w:left="5040" w:hanging="360"/>
      </w:pPr>
      <w:rPr>
        <w:rFonts w:ascii="Arial" w:hAnsi="Arial" w:hint="default"/>
      </w:rPr>
    </w:lvl>
    <w:lvl w:ilvl="7" w:tplc="1E620EEE" w:tentative="1">
      <w:start w:val="1"/>
      <w:numFmt w:val="bullet"/>
      <w:lvlText w:val="•"/>
      <w:lvlJc w:val="left"/>
      <w:pPr>
        <w:tabs>
          <w:tab w:val="num" w:pos="5760"/>
        </w:tabs>
        <w:ind w:left="5760" w:hanging="360"/>
      </w:pPr>
      <w:rPr>
        <w:rFonts w:ascii="Arial" w:hAnsi="Arial" w:hint="default"/>
      </w:rPr>
    </w:lvl>
    <w:lvl w:ilvl="8" w:tplc="3460A5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895714"/>
    <w:multiLevelType w:val="hybridMultilevel"/>
    <w:tmpl w:val="ADB0DCE8"/>
    <w:lvl w:ilvl="0" w:tplc="BF303B7A">
      <w:start w:val="5"/>
      <w:numFmt w:val="decimal"/>
      <w:lvlText w:val="%1."/>
      <w:lvlJc w:val="left"/>
      <w:pPr>
        <w:ind w:left="108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CB1055"/>
    <w:multiLevelType w:val="hybridMultilevel"/>
    <w:tmpl w:val="7292D33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26DA21F1"/>
    <w:multiLevelType w:val="hybridMultilevel"/>
    <w:tmpl w:val="C4B4C424"/>
    <w:lvl w:ilvl="0" w:tplc="6EFAF87A">
      <w:numFmt w:val="bullet"/>
      <w:lvlText w:val="-"/>
      <w:lvlJc w:val="left"/>
      <w:pPr>
        <w:ind w:left="360" w:hanging="360"/>
      </w:pPr>
      <w:rPr>
        <w:rFonts w:ascii="Times New Roman" w:eastAsia="SimSun" w:hAnsi="Times New Roman" w:cs="Times New Roman" w:hint="default"/>
      </w:rPr>
    </w:lvl>
    <w:lvl w:ilvl="1" w:tplc="6EFAF87A">
      <w:numFmt w:val="bullet"/>
      <w:lvlText w:val="-"/>
      <w:lvlJc w:val="left"/>
      <w:pPr>
        <w:ind w:left="1080" w:hanging="360"/>
      </w:pPr>
      <w:rPr>
        <w:rFonts w:ascii="Times New Roman" w:eastAsia="SimSun" w:hAnsi="Times New Roman" w:cs="Times New Roman"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78141EB"/>
    <w:multiLevelType w:val="hybridMultilevel"/>
    <w:tmpl w:val="3176F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28"/>
    <w:multiLevelType w:val="hybridMultilevel"/>
    <w:tmpl w:val="0A247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436194"/>
    <w:multiLevelType w:val="multilevel"/>
    <w:tmpl w:val="4CD4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0567B4"/>
    <w:multiLevelType w:val="hybridMultilevel"/>
    <w:tmpl w:val="84DAFD52"/>
    <w:lvl w:ilvl="0" w:tplc="00006B00">
      <w:start w:val="1"/>
      <w:numFmt w:val="bullet"/>
      <w:lvlText w:val=""/>
      <w:lvlJc w:val="left"/>
      <w:pPr>
        <w:tabs>
          <w:tab w:val="num" w:pos="720"/>
        </w:tabs>
        <w:ind w:left="720" w:hanging="360"/>
      </w:pPr>
      <w:rPr>
        <w:rFonts w:ascii="Wingdings" w:hAnsi="Wingdings" w:hint="default"/>
      </w:rPr>
    </w:lvl>
    <w:lvl w:ilvl="1" w:tplc="42DC4458" w:tentative="1">
      <w:start w:val="1"/>
      <w:numFmt w:val="bullet"/>
      <w:lvlText w:val=""/>
      <w:lvlJc w:val="left"/>
      <w:pPr>
        <w:tabs>
          <w:tab w:val="num" w:pos="1440"/>
        </w:tabs>
        <w:ind w:left="1440" w:hanging="360"/>
      </w:pPr>
      <w:rPr>
        <w:rFonts w:ascii="Wingdings" w:hAnsi="Wingdings" w:hint="default"/>
      </w:rPr>
    </w:lvl>
    <w:lvl w:ilvl="2" w:tplc="66CAA878" w:tentative="1">
      <w:start w:val="1"/>
      <w:numFmt w:val="bullet"/>
      <w:lvlText w:val=""/>
      <w:lvlJc w:val="left"/>
      <w:pPr>
        <w:tabs>
          <w:tab w:val="num" w:pos="2160"/>
        </w:tabs>
        <w:ind w:left="2160" w:hanging="360"/>
      </w:pPr>
      <w:rPr>
        <w:rFonts w:ascii="Wingdings" w:hAnsi="Wingdings" w:hint="default"/>
      </w:rPr>
    </w:lvl>
    <w:lvl w:ilvl="3" w:tplc="AE0EBAB8" w:tentative="1">
      <w:start w:val="1"/>
      <w:numFmt w:val="bullet"/>
      <w:lvlText w:val=""/>
      <w:lvlJc w:val="left"/>
      <w:pPr>
        <w:tabs>
          <w:tab w:val="num" w:pos="2880"/>
        </w:tabs>
        <w:ind w:left="2880" w:hanging="360"/>
      </w:pPr>
      <w:rPr>
        <w:rFonts w:ascii="Wingdings" w:hAnsi="Wingdings" w:hint="default"/>
      </w:rPr>
    </w:lvl>
    <w:lvl w:ilvl="4" w:tplc="AC361792" w:tentative="1">
      <w:start w:val="1"/>
      <w:numFmt w:val="bullet"/>
      <w:lvlText w:val=""/>
      <w:lvlJc w:val="left"/>
      <w:pPr>
        <w:tabs>
          <w:tab w:val="num" w:pos="3600"/>
        </w:tabs>
        <w:ind w:left="3600" w:hanging="360"/>
      </w:pPr>
      <w:rPr>
        <w:rFonts w:ascii="Wingdings" w:hAnsi="Wingdings" w:hint="default"/>
      </w:rPr>
    </w:lvl>
    <w:lvl w:ilvl="5" w:tplc="93603F06" w:tentative="1">
      <w:start w:val="1"/>
      <w:numFmt w:val="bullet"/>
      <w:lvlText w:val=""/>
      <w:lvlJc w:val="left"/>
      <w:pPr>
        <w:tabs>
          <w:tab w:val="num" w:pos="4320"/>
        </w:tabs>
        <w:ind w:left="4320" w:hanging="360"/>
      </w:pPr>
      <w:rPr>
        <w:rFonts w:ascii="Wingdings" w:hAnsi="Wingdings" w:hint="default"/>
      </w:rPr>
    </w:lvl>
    <w:lvl w:ilvl="6" w:tplc="470CF138" w:tentative="1">
      <w:start w:val="1"/>
      <w:numFmt w:val="bullet"/>
      <w:lvlText w:val=""/>
      <w:lvlJc w:val="left"/>
      <w:pPr>
        <w:tabs>
          <w:tab w:val="num" w:pos="5040"/>
        </w:tabs>
        <w:ind w:left="5040" w:hanging="360"/>
      </w:pPr>
      <w:rPr>
        <w:rFonts w:ascii="Wingdings" w:hAnsi="Wingdings" w:hint="default"/>
      </w:rPr>
    </w:lvl>
    <w:lvl w:ilvl="7" w:tplc="A920A540" w:tentative="1">
      <w:start w:val="1"/>
      <w:numFmt w:val="bullet"/>
      <w:lvlText w:val=""/>
      <w:lvlJc w:val="left"/>
      <w:pPr>
        <w:tabs>
          <w:tab w:val="num" w:pos="5760"/>
        </w:tabs>
        <w:ind w:left="5760" w:hanging="360"/>
      </w:pPr>
      <w:rPr>
        <w:rFonts w:ascii="Wingdings" w:hAnsi="Wingdings" w:hint="default"/>
      </w:rPr>
    </w:lvl>
    <w:lvl w:ilvl="8" w:tplc="0DCEDC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816B0B"/>
    <w:multiLevelType w:val="hybridMultilevel"/>
    <w:tmpl w:val="9022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0B035B"/>
    <w:multiLevelType w:val="hybridMultilevel"/>
    <w:tmpl w:val="CBBCA964"/>
    <w:lvl w:ilvl="0" w:tplc="0380912C">
      <w:start w:val="1"/>
      <w:numFmt w:val="bullet"/>
      <w:lvlText w:val="•"/>
      <w:lvlJc w:val="left"/>
      <w:pPr>
        <w:tabs>
          <w:tab w:val="num" w:pos="720"/>
        </w:tabs>
        <w:ind w:left="720" w:hanging="360"/>
      </w:pPr>
      <w:rPr>
        <w:rFonts w:ascii="Arial" w:hAnsi="Arial" w:hint="default"/>
      </w:rPr>
    </w:lvl>
    <w:lvl w:ilvl="1" w:tplc="F2B49BD2">
      <w:numFmt w:val="bullet"/>
      <w:lvlText w:val="–"/>
      <w:lvlJc w:val="left"/>
      <w:pPr>
        <w:tabs>
          <w:tab w:val="num" w:pos="1440"/>
        </w:tabs>
        <w:ind w:left="1440" w:hanging="360"/>
      </w:pPr>
      <w:rPr>
        <w:rFonts w:ascii="Calibri Light" w:hAnsi="Calibri Light" w:hint="default"/>
      </w:rPr>
    </w:lvl>
    <w:lvl w:ilvl="2" w:tplc="44DC0E46" w:tentative="1">
      <w:start w:val="1"/>
      <w:numFmt w:val="bullet"/>
      <w:lvlText w:val="•"/>
      <w:lvlJc w:val="left"/>
      <w:pPr>
        <w:tabs>
          <w:tab w:val="num" w:pos="2160"/>
        </w:tabs>
        <w:ind w:left="2160" w:hanging="360"/>
      </w:pPr>
      <w:rPr>
        <w:rFonts w:ascii="Arial" w:hAnsi="Arial" w:hint="default"/>
      </w:rPr>
    </w:lvl>
    <w:lvl w:ilvl="3" w:tplc="002CF23A" w:tentative="1">
      <w:start w:val="1"/>
      <w:numFmt w:val="bullet"/>
      <w:lvlText w:val="•"/>
      <w:lvlJc w:val="left"/>
      <w:pPr>
        <w:tabs>
          <w:tab w:val="num" w:pos="2880"/>
        </w:tabs>
        <w:ind w:left="2880" w:hanging="360"/>
      </w:pPr>
      <w:rPr>
        <w:rFonts w:ascii="Arial" w:hAnsi="Arial" w:hint="default"/>
      </w:rPr>
    </w:lvl>
    <w:lvl w:ilvl="4" w:tplc="3F88A4C4" w:tentative="1">
      <w:start w:val="1"/>
      <w:numFmt w:val="bullet"/>
      <w:lvlText w:val="•"/>
      <w:lvlJc w:val="left"/>
      <w:pPr>
        <w:tabs>
          <w:tab w:val="num" w:pos="3600"/>
        </w:tabs>
        <w:ind w:left="3600" w:hanging="360"/>
      </w:pPr>
      <w:rPr>
        <w:rFonts w:ascii="Arial" w:hAnsi="Arial" w:hint="default"/>
      </w:rPr>
    </w:lvl>
    <w:lvl w:ilvl="5" w:tplc="8D7C6040" w:tentative="1">
      <w:start w:val="1"/>
      <w:numFmt w:val="bullet"/>
      <w:lvlText w:val="•"/>
      <w:lvlJc w:val="left"/>
      <w:pPr>
        <w:tabs>
          <w:tab w:val="num" w:pos="4320"/>
        </w:tabs>
        <w:ind w:left="4320" w:hanging="360"/>
      </w:pPr>
      <w:rPr>
        <w:rFonts w:ascii="Arial" w:hAnsi="Arial" w:hint="default"/>
      </w:rPr>
    </w:lvl>
    <w:lvl w:ilvl="6" w:tplc="D2048EDE" w:tentative="1">
      <w:start w:val="1"/>
      <w:numFmt w:val="bullet"/>
      <w:lvlText w:val="•"/>
      <w:lvlJc w:val="left"/>
      <w:pPr>
        <w:tabs>
          <w:tab w:val="num" w:pos="5040"/>
        </w:tabs>
        <w:ind w:left="5040" w:hanging="360"/>
      </w:pPr>
      <w:rPr>
        <w:rFonts w:ascii="Arial" w:hAnsi="Arial" w:hint="default"/>
      </w:rPr>
    </w:lvl>
    <w:lvl w:ilvl="7" w:tplc="5DAE3F50" w:tentative="1">
      <w:start w:val="1"/>
      <w:numFmt w:val="bullet"/>
      <w:lvlText w:val="•"/>
      <w:lvlJc w:val="left"/>
      <w:pPr>
        <w:tabs>
          <w:tab w:val="num" w:pos="5760"/>
        </w:tabs>
        <w:ind w:left="5760" w:hanging="360"/>
      </w:pPr>
      <w:rPr>
        <w:rFonts w:ascii="Arial" w:hAnsi="Arial" w:hint="default"/>
      </w:rPr>
    </w:lvl>
    <w:lvl w:ilvl="8" w:tplc="442A76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5F1A7D"/>
    <w:multiLevelType w:val="hybridMultilevel"/>
    <w:tmpl w:val="CB588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161EB"/>
    <w:multiLevelType w:val="hybridMultilevel"/>
    <w:tmpl w:val="83889350"/>
    <w:lvl w:ilvl="0" w:tplc="6EFAF87A">
      <w:numFmt w:val="bullet"/>
      <w:lvlText w:val="-"/>
      <w:lvlJc w:val="left"/>
      <w:pPr>
        <w:ind w:left="360" w:hanging="360"/>
      </w:pPr>
      <w:rPr>
        <w:rFonts w:ascii="Times New Roman" w:eastAsia="SimSun" w:hAnsi="Times New Roman" w:cs="Times New Roman" w:hint="default"/>
      </w:rPr>
    </w:lvl>
    <w:lvl w:ilvl="1" w:tplc="0406000F">
      <w:start w:val="1"/>
      <w:numFmt w:val="decimal"/>
      <w:lvlText w:val="%2."/>
      <w:lvlJc w:val="left"/>
      <w:pPr>
        <w:ind w:left="1080" w:hanging="360"/>
      </w:pPr>
      <w:rPr>
        <w:rFonts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7" w15:restartNumberingAfterBreak="0">
    <w:nsid w:val="50DF2F18"/>
    <w:multiLevelType w:val="hybridMultilevel"/>
    <w:tmpl w:val="D9E6D66E"/>
    <w:lvl w:ilvl="0" w:tplc="D7A0C2F8">
      <w:start w:val="1"/>
      <w:numFmt w:val="bullet"/>
      <w:lvlText w:val="•"/>
      <w:lvlJc w:val="left"/>
      <w:pPr>
        <w:tabs>
          <w:tab w:val="num" w:pos="720"/>
        </w:tabs>
        <w:ind w:left="720" w:hanging="360"/>
      </w:pPr>
      <w:rPr>
        <w:rFonts w:ascii="Arial" w:hAnsi="Arial" w:hint="default"/>
      </w:rPr>
    </w:lvl>
    <w:lvl w:ilvl="1" w:tplc="308A94B6" w:tentative="1">
      <w:start w:val="1"/>
      <w:numFmt w:val="bullet"/>
      <w:lvlText w:val="•"/>
      <w:lvlJc w:val="left"/>
      <w:pPr>
        <w:tabs>
          <w:tab w:val="num" w:pos="1440"/>
        </w:tabs>
        <w:ind w:left="1440" w:hanging="360"/>
      </w:pPr>
      <w:rPr>
        <w:rFonts w:ascii="Arial" w:hAnsi="Arial" w:hint="default"/>
      </w:rPr>
    </w:lvl>
    <w:lvl w:ilvl="2" w:tplc="B0622832" w:tentative="1">
      <w:start w:val="1"/>
      <w:numFmt w:val="bullet"/>
      <w:lvlText w:val="•"/>
      <w:lvlJc w:val="left"/>
      <w:pPr>
        <w:tabs>
          <w:tab w:val="num" w:pos="2160"/>
        </w:tabs>
        <w:ind w:left="2160" w:hanging="360"/>
      </w:pPr>
      <w:rPr>
        <w:rFonts w:ascii="Arial" w:hAnsi="Arial" w:hint="default"/>
      </w:rPr>
    </w:lvl>
    <w:lvl w:ilvl="3" w:tplc="5A5E269C" w:tentative="1">
      <w:start w:val="1"/>
      <w:numFmt w:val="bullet"/>
      <w:lvlText w:val="•"/>
      <w:lvlJc w:val="left"/>
      <w:pPr>
        <w:tabs>
          <w:tab w:val="num" w:pos="2880"/>
        </w:tabs>
        <w:ind w:left="2880" w:hanging="360"/>
      </w:pPr>
      <w:rPr>
        <w:rFonts w:ascii="Arial" w:hAnsi="Arial" w:hint="default"/>
      </w:rPr>
    </w:lvl>
    <w:lvl w:ilvl="4" w:tplc="AD426F00" w:tentative="1">
      <w:start w:val="1"/>
      <w:numFmt w:val="bullet"/>
      <w:lvlText w:val="•"/>
      <w:lvlJc w:val="left"/>
      <w:pPr>
        <w:tabs>
          <w:tab w:val="num" w:pos="3600"/>
        </w:tabs>
        <w:ind w:left="3600" w:hanging="360"/>
      </w:pPr>
      <w:rPr>
        <w:rFonts w:ascii="Arial" w:hAnsi="Arial" w:hint="default"/>
      </w:rPr>
    </w:lvl>
    <w:lvl w:ilvl="5" w:tplc="EC1A4C62" w:tentative="1">
      <w:start w:val="1"/>
      <w:numFmt w:val="bullet"/>
      <w:lvlText w:val="•"/>
      <w:lvlJc w:val="left"/>
      <w:pPr>
        <w:tabs>
          <w:tab w:val="num" w:pos="4320"/>
        </w:tabs>
        <w:ind w:left="4320" w:hanging="360"/>
      </w:pPr>
      <w:rPr>
        <w:rFonts w:ascii="Arial" w:hAnsi="Arial" w:hint="default"/>
      </w:rPr>
    </w:lvl>
    <w:lvl w:ilvl="6" w:tplc="DB9A2266" w:tentative="1">
      <w:start w:val="1"/>
      <w:numFmt w:val="bullet"/>
      <w:lvlText w:val="•"/>
      <w:lvlJc w:val="left"/>
      <w:pPr>
        <w:tabs>
          <w:tab w:val="num" w:pos="5040"/>
        </w:tabs>
        <w:ind w:left="5040" w:hanging="360"/>
      </w:pPr>
      <w:rPr>
        <w:rFonts w:ascii="Arial" w:hAnsi="Arial" w:hint="default"/>
      </w:rPr>
    </w:lvl>
    <w:lvl w:ilvl="7" w:tplc="FA7E6608" w:tentative="1">
      <w:start w:val="1"/>
      <w:numFmt w:val="bullet"/>
      <w:lvlText w:val="•"/>
      <w:lvlJc w:val="left"/>
      <w:pPr>
        <w:tabs>
          <w:tab w:val="num" w:pos="5760"/>
        </w:tabs>
        <w:ind w:left="5760" w:hanging="360"/>
      </w:pPr>
      <w:rPr>
        <w:rFonts w:ascii="Arial" w:hAnsi="Arial" w:hint="default"/>
      </w:rPr>
    </w:lvl>
    <w:lvl w:ilvl="8" w:tplc="C38EA1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AB0F96"/>
    <w:multiLevelType w:val="hybridMultilevel"/>
    <w:tmpl w:val="1F94E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611D6EF9"/>
    <w:multiLevelType w:val="hybridMultilevel"/>
    <w:tmpl w:val="1B4C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C9033A"/>
    <w:multiLevelType w:val="multilevel"/>
    <w:tmpl w:val="FCA8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0F6644"/>
    <w:multiLevelType w:val="hybridMultilevel"/>
    <w:tmpl w:val="0D12E0B2"/>
    <w:lvl w:ilvl="0" w:tplc="ACF0102E">
      <w:start w:val="1"/>
      <w:numFmt w:val="bullet"/>
      <w:lvlText w:val="•"/>
      <w:lvlJc w:val="left"/>
      <w:pPr>
        <w:tabs>
          <w:tab w:val="num" w:pos="720"/>
        </w:tabs>
        <w:ind w:left="720" w:hanging="360"/>
      </w:pPr>
      <w:rPr>
        <w:rFonts w:ascii="Arial" w:hAnsi="Arial" w:hint="default"/>
      </w:rPr>
    </w:lvl>
    <w:lvl w:ilvl="1" w:tplc="260E2A5E" w:tentative="1">
      <w:start w:val="1"/>
      <w:numFmt w:val="bullet"/>
      <w:lvlText w:val="•"/>
      <w:lvlJc w:val="left"/>
      <w:pPr>
        <w:tabs>
          <w:tab w:val="num" w:pos="1440"/>
        </w:tabs>
        <w:ind w:left="1440" w:hanging="360"/>
      </w:pPr>
      <w:rPr>
        <w:rFonts w:ascii="Arial" w:hAnsi="Arial" w:hint="default"/>
      </w:rPr>
    </w:lvl>
    <w:lvl w:ilvl="2" w:tplc="D892EA2E" w:tentative="1">
      <w:start w:val="1"/>
      <w:numFmt w:val="bullet"/>
      <w:lvlText w:val="•"/>
      <w:lvlJc w:val="left"/>
      <w:pPr>
        <w:tabs>
          <w:tab w:val="num" w:pos="2160"/>
        </w:tabs>
        <w:ind w:left="2160" w:hanging="360"/>
      </w:pPr>
      <w:rPr>
        <w:rFonts w:ascii="Arial" w:hAnsi="Arial" w:hint="default"/>
      </w:rPr>
    </w:lvl>
    <w:lvl w:ilvl="3" w:tplc="A69E909A" w:tentative="1">
      <w:start w:val="1"/>
      <w:numFmt w:val="bullet"/>
      <w:lvlText w:val="•"/>
      <w:lvlJc w:val="left"/>
      <w:pPr>
        <w:tabs>
          <w:tab w:val="num" w:pos="2880"/>
        </w:tabs>
        <w:ind w:left="2880" w:hanging="360"/>
      </w:pPr>
      <w:rPr>
        <w:rFonts w:ascii="Arial" w:hAnsi="Arial" w:hint="default"/>
      </w:rPr>
    </w:lvl>
    <w:lvl w:ilvl="4" w:tplc="DE806CF2" w:tentative="1">
      <w:start w:val="1"/>
      <w:numFmt w:val="bullet"/>
      <w:lvlText w:val="•"/>
      <w:lvlJc w:val="left"/>
      <w:pPr>
        <w:tabs>
          <w:tab w:val="num" w:pos="3600"/>
        </w:tabs>
        <w:ind w:left="3600" w:hanging="360"/>
      </w:pPr>
      <w:rPr>
        <w:rFonts w:ascii="Arial" w:hAnsi="Arial" w:hint="default"/>
      </w:rPr>
    </w:lvl>
    <w:lvl w:ilvl="5" w:tplc="E464659E" w:tentative="1">
      <w:start w:val="1"/>
      <w:numFmt w:val="bullet"/>
      <w:lvlText w:val="•"/>
      <w:lvlJc w:val="left"/>
      <w:pPr>
        <w:tabs>
          <w:tab w:val="num" w:pos="4320"/>
        </w:tabs>
        <w:ind w:left="4320" w:hanging="360"/>
      </w:pPr>
      <w:rPr>
        <w:rFonts w:ascii="Arial" w:hAnsi="Arial" w:hint="default"/>
      </w:rPr>
    </w:lvl>
    <w:lvl w:ilvl="6" w:tplc="DE6675A2" w:tentative="1">
      <w:start w:val="1"/>
      <w:numFmt w:val="bullet"/>
      <w:lvlText w:val="•"/>
      <w:lvlJc w:val="left"/>
      <w:pPr>
        <w:tabs>
          <w:tab w:val="num" w:pos="5040"/>
        </w:tabs>
        <w:ind w:left="5040" w:hanging="360"/>
      </w:pPr>
      <w:rPr>
        <w:rFonts w:ascii="Arial" w:hAnsi="Arial" w:hint="default"/>
      </w:rPr>
    </w:lvl>
    <w:lvl w:ilvl="7" w:tplc="5352C0FE" w:tentative="1">
      <w:start w:val="1"/>
      <w:numFmt w:val="bullet"/>
      <w:lvlText w:val="•"/>
      <w:lvlJc w:val="left"/>
      <w:pPr>
        <w:tabs>
          <w:tab w:val="num" w:pos="5760"/>
        </w:tabs>
        <w:ind w:left="5760" w:hanging="360"/>
      </w:pPr>
      <w:rPr>
        <w:rFonts w:ascii="Arial" w:hAnsi="Arial" w:hint="default"/>
      </w:rPr>
    </w:lvl>
    <w:lvl w:ilvl="8" w:tplc="58D432F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0"/>
  </w:num>
  <w:num w:numId="3">
    <w:abstractNumId w:val="3"/>
  </w:num>
  <w:num w:numId="4">
    <w:abstractNumId w:val="10"/>
  </w:num>
  <w:num w:numId="5">
    <w:abstractNumId w:val="4"/>
  </w:num>
  <w:num w:numId="6">
    <w:abstractNumId w:val="26"/>
  </w:num>
  <w:num w:numId="7">
    <w:abstractNumId w:val="9"/>
  </w:num>
  <w:num w:numId="8">
    <w:abstractNumId w:val="12"/>
  </w:num>
  <w:num w:numId="9">
    <w:abstractNumId w:val="27"/>
  </w:num>
  <w:num w:numId="10">
    <w:abstractNumId w:val="33"/>
  </w:num>
  <w:num w:numId="11">
    <w:abstractNumId w:val="19"/>
  </w:num>
  <w:num w:numId="12">
    <w:abstractNumId w:val="21"/>
  </w:num>
  <w:num w:numId="13">
    <w:abstractNumId w:val="5"/>
  </w:num>
  <w:num w:numId="14">
    <w:abstractNumId w:val="32"/>
  </w:num>
  <w:num w:numId="15">
    <w:abstractNumId w:val="7"/>
  </w:num>
  <w:num w:numId="16">
    <w:abstractNumId w:val="8"/>
  </w:num>
  <w:num w:numId="17">
    <w:abstractNumId w:val="14"/>
  </w:num>
  <w:num w:numId="18">
    <w:abstractNumId w:val="29"/>
  </w:num>
  <w:num w:numId="19">
    <w:abstractNumId w:val="1"/>
  </w:num>
  <w:num w:numId="20">
    <w:abstractNumId w:val="25"/>
  </w:num>
  <w:num w:numId="21">
    <w:abstractNumId w:val="16"/>
  </w:num>
  <w:num w:numId="22">
    <w:abstractNumId w:val="16"/>
  </w:num>
  <w:num w:numId="23">
    <w:abstractNumId w:val="24"/>
  </w:num>
  <w:num w:numId="24">
    <w:abstractNumId w:val="16"/>
  </w:num>
  <w:num w:numId="25">
    <w:abstractNumId w:val="13"/>
  </w:num>
  <w:num w:numId="26">
    <w:abstractNumId w:val="16"/>
  </w:num>
  <w:num w:numId="27">
    <w:abstractNumId w:val="16"/>
  </w:num>
  <w:num w:numId="28">
    <w:abstractNumId w:val="2"/>
  </w:num>
  <w:num w:numId="29">
    <w:abstractNumId w:val="30"/>
  </w:num>
  <w:num w:numId="30">
    <w:abstractNumId w:val="23"/>
  </w:num>
  <w:num w:numId="31">
    <w:abstractNumId w:val="16"/>
  </w:num>
  <w:num w:numId="32">
    <w:abstractNumId w:val="28"/>
  </w:num>
  <w:num w:numId="33">
    <w:abstractNumId w:val="16"/>
  </w:num>
  <w:num w:numId="34">
    <w:abstractNumId w:val="16"/>
  </w:num>
  <w:num w:numId="35">
    <w:abstractNumId w:val="16"/>
  </w:num>
  <w:num w:numId="36">
    <w:abstractNumId w:val="18"/>
  </w:num>
  <w:num w:numId="37">
    <w:abstractNumId w:val="6"/>
  </w:num>
  <w:num w:numId="38">
    <w:abstractNumId w:val="17"/>
  </w:num>
  <w:num w:numId="39">
    <w:abstractNumId w:val="31"/>
  </w:num>
  <w:num w:numId="40">
    <w:abstractNumId w:val="15"/>
  </w:num>
  <w:num w:numId="41">
    <w:abstractNumId w:val="0"/>
  </w:num>
  <w:num w:numId="42">
    <w:abstractNumId w:val="22"/>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1C4"/>
    <w:rsid w:val="0000159F"/>
    <w:rsid w:val="000017C6"/>
    <w:rsid w:val="00003A5B"/>
    <w:rsid w:val="00003E20"/>
    <w:rsid w:val="00004AC8"/>
    <w:rsid w:val="00004CCE"/>
    <w:rsid w:val="00004D8C"/>
    <w:rsid w:val="000053BA"/>
    <w:rsid w:val="00005EF5"/>
    <w:rsid w:val="00006055"/>
    <w:rsid w:val="00006AD4"/>
    <w:rsid w:val="00006CB9"/>
    <w:rsid w:val="000074C4"/>
    <w:rsid w:val="000079A6"/>
    <w:rsid w:val="00010E2C"/>
    <w:rsid w:val="00011BB2"/>
    <w:rsid w:val="00012505"/>
    <w:rsid w:val="00012685"/>
    <w:rsid w:val="00012804"/>
    <w:rsid w:val="00012C4F"/>
    <w:rsid w:val="000131D1"/>
    <w:rsid w:val="00013455"/>
    <w:rsid w:val="000134E3"/>
    <w:rsid w:val="00013632"/>
    <w:rsid w:val="00013F5E"/>
    <w:rsid w:val="0001403F"/>
    <w:rsid w:val="0001487F"/>
    <w:rsid w:val="00014A0E"/>
    <w:rsid w:val="00014D24"/>
    <w:rsid w:val="00014F35"/>
    <w:rsid w:val="00015F98"/>
    <w:rsid w:val="000166AC"/>
    <w:rsid w:val="00017B7F"/>
    <w:rsid w:val="00017EDA"/>
    <w:rsid w:val="000212A5"/>
    <w:rsid w:val="00022B8C"/>
    <w:rsid w:val="00023742"/>
    <w:rsid w:val="00023F51"/>
    <w:rsid w:val="00024AEF"/>
    <w:rsid w:val="00025A38"/>
    <w:rsid w:val="00026C65"/>
    <w:rsid w:val="00027755"/>
    <w:rsid w:val="00027864"/>
    <w:rsid w:val="0002789E"/>
    <w:rsid w:val="00027A33"/>
    <w:rsid w:val="00030048"/>
    <w:rsid w:val="0003072D"/>
    <w:rsid w:val="00030A57"/>
    <w:rsid w:val="000314CD"/>
    <w:rsid w:val="00031A7C"/>
    <w:rsid w:val="0003332B"/>
    <w:rsid w:val="00033544"/>
    <w:rsid w:val="000344DC"/>
    <w:rsid w:val="0003479E"/>
    <w:rsid w:val="00035691"/>
    <w:rsid w:val="00035BA6"/>
    <w:rsid w:val="0003767C"/>
    <w:rsid w:val="000409D8"/>
    <w:rsid w:val="00040F4F"/>
    <w:rsid w:val="0004132D"/>
    <w:rsid w:val="00041C9D"/>
    <w:rsid w:val="000426F5"/>
    <w:rsid w:val="00044CFA"/>
    <w:rsid w:val="00045569"/>
    <w:rsid w:val="000459C7"/>
    <w:rsid w:val="00046630"/>
    <w:rsid w:val="00046C80"/>
    <w:rsid w:val="0004743C"/>
    <w:rsid w:val="00047553"/>
    <w:rsid w:val="00050112"/>
    <w:rsid w:val="00050276"/>
    <w:rsid w:val="00050466"/>
    <w:rsid w:val="000505CC"/>
    <w:rsid w:val="00050891"/>
    <w:rsid w:val="000511F9"/>
    <w:rsid w:val="00051212"/>
    <w:rsid w:val="00051B32"/>
    <w:rsid w:val="00051C92"/>
    <w:rsid w:val="0005230E"/>
    <w:rsid w:val="00052687"/>
    <w:rsid w:val="00052850"/>
    <w:rsid w:val="000528A2"/>
    <w:rsid w:val="00052BBA"/>
    <w:rsid w:val="0005342E"/>
    <w:rsid w:val="00053588"/>
    <w:rsid w:val="0005495A"/>
    <w:rsid w:val="00054B05"/>
    <w:rsid w:val="00054D9D"/>
    <w:rsid w:val="00055676"/>
    <w:rsid w:val="00055B5E"/>
    <w:rsid w:val="00056544"/>
    <w:rsid w:val="00056919"/>
    <w:rsid w:val="00056BDE"/>
    <w:rsid w:val="000600F3"/>
    <w:rsid w:val="00060D8E"/>
    <w:rsid w:val="00061061"/>
    <w:rsid w:val="00061BBF"/>
    <w:rsid w:val="00062159"/>
    <w:rsid w:val="000621A1"/>
    <w:rsid w:val="00063C20"/>
    <w:rsid w:val="00063D9E"/>
    <w:rsid w:val="00064453"/>
    <w:rsid w:val="0006488E"/>
    <w:rsid w:val="00064AD3"/>
    <w:rsid w:val="00065088"/>
    <w:rsid w:val="000652D3"/>
    <w:rsid w:val="000654A0"/>
    <w:rsid w:val="0006579F"/>
    <w:rsid w:val="00065E94"/>
    <w:rsid w:val="00066719"/>
    <w:rsid w:val="000701AD"/>
    <w:rsid w:val="000707CA"/>
    <w:rsid w:val="00070D21"/>
    <w:rsid w:val="00070D4B"/>
    <w:rsid w:val="000715A2"/>
    <w:rsid w:val="000717FB"/>
    <w:rsid w:val="000719BF"/>
    <w:rsid w:val="0007208A"/>
    <w:rsid w:val="0007213C"/>
    <w:rsid w:val="00072BBA"/>
    <w:rsid w:val="00072FF5"/>
    <w:rsid w:val="000730DC"/>
    <w:rsid w:val="000750F6"/>
    <w:rsid w:val="0007531D"/>
    <w:rsid w:val="00075965"/>
    <w:rsid w:val="00075FDA"/>
    <w:rsid w:val="00076386"/>
    <w:rsid w:val="00076D82"/>
    <w:rsid w:val="00077C0A"/>
    <w:rsid w:val="00081716"/>
    <w:rsid w:val="00081EC2"/>
    <w:rsid w:val="00082154"/>
    <w:rsid w:val="00083042"/>
    <w:rsid w:val="00083800"/>
    <w:rsid w:val="00084A65"/>
    <w:rsid w:val="000850D5"/>
    <w:rsid w:val="0008559A"/>
    <w:rsid w:val="00086797"/>
    <w:rsid w:val="00086B70"/>
    <w:rsid w:val="00086B7F"/>
    <w:rsid w:val="000902C2"/>
    <w:rsid w:val="00091A92"/>
    <w:rsid w:val="00091C51"/>
    <w:rsid w:val="00091C7C"/>
    <w:rsid w:val="00093C49"/>
    <w:rsid w:val="00093E57"/>
    <w:rsid w:val="00095A80"/>
    <w:rsid w:val="00095ABD"/>
    <w:rsid w:val="00097377"/>
    <w:rsid w:val="000973E1"/>
    <w:rsid w:val="000A1402"/>
    <w:rsid w:val="000A20BA"/>
    <w:rsid w:val="000A262C"/>
    <w:rsid w:val="000A3200"/>
    <w:rsid w:val="000A3C8D"/>
    <w:rsid w:val="000A3DFE"/>
    <w:rsid w:val="000A40EC"/>
    <w:rsid w:val="000A54EE"/>
    <w:rsid w:val="000A62BE"/>
    <w:rsid w:val="000A6A23"/>
    <w:rsid w:val="000A7BC5"/>
    <w:rsid w:val="000B0A6A"/>
    <w:rsid w:val="000B0AB5"/>
    <w:rsid w:val="000B0C45"/>
    <w:rsid w:val="000B0DA9"/>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25F"/>
    <w:rsid w:val="000B6630"/>
    <w:rsid w:val="000B6D65"/>
    <w:rsid w:val="000B6EA4"/>
    <w:rsid w:val="000B743C"/>
    <w:rsid w:val="000B7B49"/>
    <w:rsid w:val="000C0B1D"/>
    <w:rsid w:val="000C0CB5"/>
    <w:rsid w:val="000C1D59"/>
    <w:rsid w:val="000C21BF"/>
    <w:rsid w:val="000C2B09"/>
    <w:rsid w:val="000C30CF"/>
    <w:rsid w:val="000C3512"/>
    <w:rsid w:val="000C501D"/>
    <w:rsid w:val="000C5B5B"/>
    <w:rsid w:val="000C5CBA"/>
    <w:rsid w:val="000C6665"/>
    <w:rsid w:val="000C69AB"/>
    <w:rsid w:val="000C74BA"/>
    <w:rsid w:val="000C7531"/>
    <w:rsid w:val="000C7BA7"/>
    <w:rsid w:val="000C7C3F"/>
    <w:rsid w:val="000D00D9"/>
    <w:rsid w:val="000D02AB"/>
    <w:rsid w:val="000D0BD6"/>
    <w:rsid w:val="000D0BDE"/>
    <w:rsid w:val="000D0C61"/>
    <w:rsid w:val="000D1440"/>
    <w:rsid w:val="000D1901"/>
    <w:rsid w:val="000D2547"/>
    <w:rsid w:val="000D27AD"/>
    <w:rsid w:val="000D29D1"/>
    <w:rsid w:val="000D2B0A"/>
    <w:rsid w:val="000D3286"/>
    <w:rsid w:val="000D344D"/>
    <w:rsid w:val="000D40E7"/>
    <w:rsid w:val="000D584F"/>
    <w:rsid w:val="000D6B82"/>
    <w:rsid w:val="000D76BC"/>
    <w:rsid w:val="000D7750"/>
    <w:rsid w:val="000E071E"/>
    <w:rsid w:val="000E0DEE"/>
    <w:rsid w:val="000E1325"/>
    <w:rsid w:val="000E181D"/>
    <w:rsid w:val="000E27AA"/>
    <w:rsid w:val="000E337A"/>
    <w:rsid w:val="000E34FD"/>
    <w:rsid w:val="000E4350"/>
    <w:rsid w:val="000E4376"/>
    <w:rsid w:val="000E4408"/>
    <w:rsid w:val="000E4681"/>
    <w:rsid w:val="000E475D"/>
    <w:rsid w:val="000E53AB"/>
    <w:rsid w:val="000E5716"/>
    <w:rsid w:val="000E6337"/>
    <w:rsid w:val="000E70E6"/>
    <w:rsid w:val="000E7A79"/>
    <w:rsid w:val="000F15B2"/>
    <w:rsid w:val="000F19DE"/>
    <w:rsid w:val="000F2E1F"/>
    <w:rsid w:val="000F37B0"/>
    <w:rsid w:val="000F3DDD"/>
    <w:rsid w:val="000F3FE4"/>
    <w:rsid w:val="000F447B"/>
    <w:rsid w:val="000F4595"/>
    <w:rsid w:val="000F4CB2"/>
    <w:rsid w:val="000F4E44"/>
    <w:rsid w:val="000F4E90"/>
    <w:rsid w:val="000F568D"/>
    <w:rsid w:val="000F6158"/>
    <w:rsid w:val="000F68D0"/>
    <w:rsid w:val="000F6B15"/>
    <w:rsid w:val="000F6D98"/>
    <w:rsid w:val="000F713D"/>
    <w:rsid w:val="000F7500"/>
    <w:rsid w:val="000F785F"/>
    <w:rsid w:val="000F7974"/>
    <w:rsid w:val="0010170B"/>
    <w:rsid w:val="00101C4F"/>
    <w:rsid w:val="00102C9F"/>
    <w:rsid w:val="00103AAC"/>
    <w:rsid w:val="00103FC9"/>
    <w:rsid w:val="00104021"/>
    <w:rsid w:val="001068D2"/>
    <w:rsid w:val="001069F2"/>
    <w:rsid w:val="0010757E"/>
    <w:rsid w:val="00107EF7"/>
    <w:rsid w:val="001103BD"/>
    <w:rsid w:val="00111208"/>
    <w:rsid w:val="001115E4"/>
    <w:rsid w:val="00111808"/>
    <w:rsid w:val="00112220"/>
    <w:rsid w:val="0011331A"/>
    <w:rsid w:val="0011339F"/>
    <w:rsid w:val="00113B8F"/>
    <w:rsid w:val="00113EC8"/>
    <w:rsid w:val="00114227"/>
    <w:rsid w:val="00114E96"/>
    <w:rsid w:val="001152C7"/>
    <w:rsid w:val="00115C88"/>
    <w:rsid w:val="0011644A"/>
    <w:rsid w:val="00117332"/>
    <w:rsid w:val="0011784B"/>
    <w:rsid w:val="001204DD"/>
    <w:rsid w:val="00122839"/>
    <w:rsid w:val="001237AC"/>
    <w:rsid w:val="00124E12"/>
    <w:rsid w:val="00124E34"/>
    <w:rsid w:val="00124E75"/>
    <w:rsid w:val="00126599"/>
    <w:rsid w:val="0012673D"/>
    <w:rsid w:val="001269B8"/>
    <w:rsid w:val="00127099"/>
    <w:rsid w:val="001273FA"/>
    <w:rsid w:val="00127956"/>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9A0"/>
    <w:rsid w:val="001416C7"/>
    <w:rsid w:val="00141E40"/>
    <w:rsid w:val="00141F08"/>
    <w:rsid w:val="00141FF2"/>
    <w:rsid w:val="001424A1"/>
    <w:rsid w:val="0014287A"/>
    <w:rsid w:val="00142DE2"/>
    <w:rsid w:val="00144C87"/>
    <w:rsid w:val="001467B1"/>
    <w:rsid w:val="00146A0F"/>
    <w:rsid w:val="0014726E"/>
    <w:rsid w:val="001477AF"/>
    <w:rsid w:val="00150175"/>
    <w:rsid w:val="001502C8"/>
    <w:rsid w:val="001508C5"/>
    <w:rsid w:val="00150A91"/>
    <w:rsid w:val="00150C08"/>
    <w:rsid w:val="00151011"/>
    <w:rsid w:val="0015103E"/>
    <w:rsid w:val="00151224"/>
    <w:rsid w:val="0015130F"/>
    <w:rsid w:val="001532B3"/>
    <w:rsid w:val="001532BA"/>
    <w:rsid w:val="001538BC"/>
    <w:rsid w:val="00153FED"/>
    <w:rsid w:val="001540D0"/>
    <w:rsid w:val="00155BFD"/>
    <w:rsid w:val="00156ABA"/>
    <w:rsid w:val="00156EB4"/>
    <w:rsid w:val="00157390"/>
    <w:rsid w:val="001608BA"/>
    <w:rsid w:val="00160998"/>
    <w:rsid w:val="00160CD6"/>
    <w:rsid w:val="00160F5F"/>
    <w:rsid w:val="001610C5"/>
    <w:rsid w:val="00162308"/>
    <w:rsid w:val="00162B35"/>
    <w:rsid w:val="00162CFF"/>
    <w:rsid w:val="0016316A"/>
    <w:rsid w:val="00163539"/>
    <w:rsid w:val="0016381F"/>
    <w:rsid w:val="00163D1D"/>
    <w:rsid w:val="00164171"/>
    <w:rsid w:val="00164E58"/>
    <w:rsid w:val="00165033"/>
    <w:rsid w:val="00165926"/>
    <w:rsid w:val="00165D5C"/>
    <w:rsid w:val="001665EB"/>
    <w:rsid w:val="001670EA"/>
    <w:rsid w:val="001674A0"/>
    <w:rsid w:val="00170A50"/>
    <w:rsid w:val="00171CFB"/>
    <w:rsid w:val="00172FB4"/>
    <w:rsid w:val="00173904"/>
    <w:rsid w:val="00173D9A"/>
    <w:rsid w:val="00173F41"/>
    <w:rsid w:val="00174FFD"/>
    <w:rsid w:val="001759CA"/>
    <w:rsid w:val="00176FE0"/>
    <w:rsid w:val="0017726A"/>
    <w:rsid w:val="00177DD3"/>
    <w:rsid w:val="00180278"/>
    <w:rsid w:val="001807F2"/>
    <w:rsid w:val="001812FB"/>
    <w:rsid w:val="001818A7"/>
    <w:rsid w:val="00182725"/>
    <w:rsid w:val="001829C8"/>
    <w:rsid w:val="001858F5"/>
    <w:rsid w:val="00186572"/>
    <w:rsid w:val="00186904"/>
    <w:rsid w:val="00186B0A"/>
    <w:rsid w:val="00187BB9"/>
    <w:rsid w:val="001905BD"/>
    <w:rsid w:val="00191636"/>
    <w:rsid w:val="00191B6D"/>
    <w:rsid w:val="00191E79"/>
    <w:rsid w:val="00191E87"/>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A02F6"/>
    <w:rsid w:val="001A05C9"/>
    <w:rsid w:val="001A0B27"/>
    <w:rsid w:val="001A1061"/>
    <w:rsid w:val="001A15C6"/>
    <w:rsid w:val="001A17FF"/>
    <w:rsid w:val="001A46BD"/>
    <w:rsid w:val="001A5510"/>
    <w:rsid w:val="001A5C7B"/>
    <w:rsid w:val="001A5CB6"/>
    <w:rsid w:val="001A5E19"/>
    <w:rsid w:val="001A6157"/>
    <w:rsid w:val="001A63D8"/>
    <w:rsid w:val="001B017D"/>
    <w:rsid w:val="001B01FA"/>
    <w:rsid w:val="001B0832"/>
    <w:rsid w:val="001B1330"/>
    <w:rsid w:val="001B18A7"/>
    <w:rsid w:val="001B233D"/>
    <w:rsid w:val="001B2762"/>
    <w:rsid w:val="001B36FC"/>
    <w:rsid w:val="001B38EE"/>
    <w:rsid w:val="001B4078"/>
    <w:rsid w:val="001B41ED"/>
    <w:rsid w:val="001B4457"/>
    <w:rsid w:val="001B4607"/>
    <w:rsid w:val="001B46ED"/>
    <w:rsid w:val="001B4C3C"/>
    <w:rsid w:val="001B7E0C"/>
    <w:rsid w:val="001C0674"/>
    <w:rsid w:val="001C1405"/>
    <w:rsid w:val="001C1B93"/>
    <w:rsid w:val="001C226F"/>
    <w:rsid w:val="001C254C"/>
    <w:rsid w:val="001C3C7E"/>
    <w:rsid w:val="001C5296"/>
    <w:rsid w:val="001C66AC"/>
    <w:rsid w:val="001C6754"/>
    <w:rsid w:val="001C6B60"/>
    <w:rsid w:val="001C77F0"/>
    <w:rsid w:val="001C7929"/>
    <w:rsid w:val="001D100F"/>
    <w:rsid w:val="001D30C9"/>
    <w:rsid w:val="001D445B"/>
    <w:rsid w:val="001D4489"/>
    <w:rsid w:val="001D46A0"/>
    <w:rsid w:val="001D4D46"/>
    <w:rsid w:val="001D50C2"/>
    <w:rsid w:val="001D6275"/>
    <w:rsid w:val="001D753C"/>
    <w:rsid w:val="001D7CA4"/>
    <w:rsid w:val="001D7E58"/>
    <w:rsid w:val="001E0425"/>
    <w:rsid w:val="001E13B3"/>
    <w:rsid w:val="001E2A67"/>
    <w:rsid w:val="001E30A0"/>
    <w:rsid w:val="001E3113"/>
    <w:rsid w:val="001E3CE8"/>
    <w:rsid w:val="001E3DE1"/>
    <w:rsid w:val="001E48AA"/>
    <w:rsid w:val="001E4D4F"/>
    <w:rsid w:val="001E54F9"/>
    <w:rsid w:val="001E57CF"/>
    <w:rsid w:val="001E5904"/>
    <w:rsid w:val="001E5981"/>
    <w:rsid w:val="001E6826"/>
    <w:rsid w:val="001E6D01"/>
    <w:rsid w:val="001E6E8E"/>
    <w:rsid w:val="001E74BA"/>
    <w:rsid w:val="001E7B9F"/>
    <w:rsid w:val="001F01FB"/>
    <w:rsid w:val="001F0658"/>
    <w:rsid w:val="001F0C29"/>
    <w:rsid w:val="001F0E92"/>
    <w:rsid w:val="001F1987"/>
    <w:rsid w:val="001F1B7C"/>
    <w:rsid w:val="001F201D"/>
    <w:rsid w:val="001F204F"/>
    <w:rsid w:val="001F21BC"/>
    <w:rsid w:val="001F22D5"/>
    <w:rsid w:val="001F23BD"/>
    <w:rsid w:val="001F2680"/>
    <w:rsid w:val="001F32E0"/>
    <w:rsid w:val="001F34DA"/>
    <w:rsid w:val="001F4DAC"/>
    <w:rsid w:val="001F5019"/>
    <w:rsid w:val="001F51C5"/>
    <w:rsid w:val="001F65B0"/>
    <w:rsid w:val="001F67AA"/>
    <w:rsid w:val="001F6AFD"/>
    <w:rsid w:val="001F738D"/>
    <w:rsid w:val="001F7599"/>
    <w:rsid w:val="00200457"/>
    <w:rsid w:val="00201B0F"/>
    <w:rsid w:val="00204A2A"/>
    <w:rsid w:val="00204B22"/>
    <w:rsid w:val="00204B3A"/>
    <w:rsid w:val="0020535A"/>
    <w:rsid w:val="002055CB"/>
    <w:rsid w:val="002059EF"/>
    <w:rsid w:val="00205A4B"/>
    <w:rsid w:val="00205BDB"/>
    <w:rsid w:val="00206652"/>
    <w:rsid w:val="00206857"/>
    <w:rsid w:val="00206955"/>
    <w:rsid w:val="00206A79"/>
    <w:rsid w:val="002071E0"/>
    <w:rsid w:val="00207754"/>
    <w:rsid w:val="00207DF2"/>
    <w:rsid w:val="00210309"/>
    <w:rsid w:val="002114F0"/>
    <w:rsid w:val="00211519"/>
    <w:rsid w:val="00211C74"/>
    <w:rsid w:val="0021224B"/>
    <w:rsid w:val="00212950"/>
    <w:rsid w:val="00212FB8"/>
    <w:rsid w:val="00213709"/>
    <w:rsid w:val="002149AF"/>
    <w:rsid w:val="00214A86"/>
    <w:rsid w:val="00215AAA"/>
    <w:rsid w:val="0021683C"/>
    <w:rsid w:val="002169B3"/>
    <w:rsid w:val="00216F5F"/>
    <w:rsid w:val="00217C1E"/>
    <w:rsid w:val="00220615"/>
    <w:rsid w:val="00221985"/>
    <w:rsid w:val="00221EC5"/>
    <w:rsid w:val="00222A7A"/>
    <w:rsid w:val="00222C06"/>
    <w:rsid w:val="00223CC1"/>
    <w:rsid w:val="00224A2C"/>
    <w:rsid w:val="00225217"/>
    <w:rsid w:val="002256D9"/>
    <w:rsid w:val="002258A1"/>
    <w:rsid w:val="00226577"/>
    <w:rsid w:val="0022687C"/>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D0E"/>
    <w:rsid w:val="00234270"/>
    <w:rsid w:val="00234B61"/>
    <w:rsid w:val="00234E13"/>
    <w:rsid w:val="00236223"/>
    <w:rsid w:val="00236450"/>
    <w:rsid w:val="002365AA"/>
    <w:rsid w:val="0023765A"/>
    <w:rsid w:val="00237921"/>
    <w:rsid w:val="00237C1E"/>
    <w:rsid w:val="00240342"/>
    <w:rsid w:val="0024044A"/>
    <w:rsid w:val="00241311"/>
    <w:rsid w:val="002418BE"/>
    <w:rsid w:val="002418E8"/>
    <w:rsid w:val="00241ED1"/>
    <w:rsid w:val="00242E22"/>
    <w:rsid w:val="0024336B"/>
    <w:rsid w:val="00243389"/>
    <w:rsid w:val="00244194"/>
    <w:rsid w:val="0024424F"/>
    <w:rsid w:val="00244D28"/>
    <w:rsid w:val="00245689"/>
    <w:rsid w:val="00245720"/>
    <w:rsid w:val="00245A6F"/>
    <w:rsid w:val="00245FD5"/>
    <w:rsid w:val="002461BC"/>
    <w:rsid w:val="00246A4E"/>
    <w:rsid w:val="002477DF"/>
    <w:rsid w:val="00250C3D"/>
    <w:rsid w:val="00250FB1"/>
    <w:rsid w:val="00251AD6"/>
    <w:rsid w:val="00252C17"/>
    <w:rsid w:val="0025307F"/>
    <w:rsid w:val="00254125"/>
    <w:rsid w:val="002551BD"/>
    <w:rsid w:val="002568D0"/>
    <w:rsid w:val="00256A9B"/>
    <w:rsid w:val="002571F1"/>
    <w:rsid w:val="00260AEE"/>
    <w:rsid w:val="002619A0"/>
    <w:rsid w:val="002621A6"/>
    <w:rsid w:val="00262661"/>
    <w:rsid w:val="00262D9D"/>
    <w:rsid w:val="002632DF"/>
    <w:rsid w:val="002637B3"/>
    <w:rsid w:val="00263946"/>
    <w:rsid w:val="002640BA"/>
    <w:rsid w:val="00264A87"/>
    <w:rsid w:val="00264CF2"/>
    <w:rsid w:val="002667A8"/>
    <w:rsid w:val="00267587"/>
    <w:rsid w:val="002675C8"/>
    <w:rsid w:val="00267760"/>
    <w:rsid w:val="00267D0A"/>
    <w:rsid w:val="00271589"/>
    <w:rsid w:val="0027314F"/>
    <w:rsid w:val="00273177"/>
    <w:rsid w:val="00273891"/>
    <w:rsid w:val="0027455B"/>
    <w:rsid w:val="00274801"/>
    <w:rsid w:val="00275074"/>
    <w:rsid w:val="002761E3"/>
    <w:rsid w:val="002763E9"/>
    <w:rsid w:val="00276655"/>
    <w:rsid w:val="00276736"/>
    <w:rsid w:val="00276F4E"/>
    <w:rsid w:val="0027728A"/>
    <w:rsid w:val="0027773D"/>
    <w:rsid w:val="00277814"/>
    <w:rsid w:val="002778BD"/>
    <w:rsid w:val="00281361"/>
    <w:rsid w:val="0028138D"/>
    <w:rsid w:val="002815BF"/>
    <w:rsid w:val="002815FA"/>
    <w:rsid w:val="00281EF5"/>
    <w:rsid w:val="002824C2"/>
    <w:rsid w:val="00284E32"/>
    <w:rsid w:val="002851EB"/>
    <w:rsid w:val="00285510"/>
    <w:rsid w:val="00285BD1"/>
    <w:rsid w:val="00285CB5"/>
    <w:rsid w:val="00285DE2"/>
    <w:rsid w:val="0028616D"/>
    <w:rsid w:val="00286965"/>
    <w:rsid w:val="00287190"/>
    <w:rsid w:val="0029136E"/>
    <w:rsid w:val="00292399"/>
    <w:rsid w:val="002928E4"/>
    <w:rsid w:val="002932C8"/>
    <w:rsid w:val="00294445"/>
    <w:rsid w:val="00294B4D"/>
    <w:rsid w:val="0029537E"/>
    <w:rsid w:val="002960D5"/>
    <w:rsid w:val="00297284"/>
    <w:rsid w:val="00297926"/>
    <w:rsid w:val="00297B17"/>
    <w:rsid w:val="002A02C9"/>
    <w:rsid w:val="002A046A"/>
    <w:rsid w:val="002A075C"/>
    <w:rsid w:val="002A1062"/>
    <w:rsid w:val="002A16F1"/>
    <w:rsid w:val="002A2012"/>
    <w:rsid w:val="002A2413"/>
    <w:rsid w:val="002A2F5E"/>
    <w:rsid w:val="002A352A"/>
    <w:rsid w:val="002A607D"/>
    <w:rsid w:val="002A64A7"/>
    <w:rsid w:val="002A6622"/>
    <w:rsid w:val="002B132E"/>
    <w:rsid w:val="002B1499"/>
    <w:rsid w:val="002B21D8"/>
    <w:rsid w:val="002B2813"/>
    <w:rsid w:val="002B2D29"/>
    <w:rsid w:val="002B392A"/>
    <w:rsid w:val="002B3B31"/>
    <w:rsid w:val="002B3B43"/>
    <w:rsid w:val="002B3BBD"/>
    <w:rsid w:val="002B40B0"/>
    <w:rsid w:val="002B4CA2"/>
    <w:rsid w:val="002B4DA6"/>
    <w:rsid w:val="002B609D"/>
    <w:rsid w:val="002B665A"/>
    <w:rsid w:val="002C0C4B"/>
    <w:rsid w:val="002C1EEA"/>
    <w:rsid w:val="002C2823"/>
    <w:rsid w:val="002C379A"/>
    <w:rsid w:val="002C47AD"/>
    <w:rsid w:val="002C5510"/>
    <w:rsid w:val="002C6034"/>
    <w:rsid w:val="002C635B"/>
    <w:rsid w:val="002C7276"/>
    <w:rsid w:val="002C770F"/>
    <w:rsid w:val="002C7CFF"/>
    <w:rsid w:val="002D08BC"/>
    <w:rsid w:val="002D0BC6"/>
    <w:rsid w:val="002D12DB"/>
    <w:rsid w:val="002D17C5"/>
    <w:rsid w:val="002D1EE2"/>
    <w:rsid w:val="002D2445"/>
    <w:rsid w:val="002D365F"/>
    <w:rsid w:val="002D4A68"/>
    <w:rsid w:val="002D4F44"/>
    <w:rsid w:val="002D51DF"/>
    <w:rsid w:val="002D587C"/>
    <w:rsid w:val="002D6892"/>
    <w:rsid w:val="002D68C2"/>
    <w:rsid w:val="002D7838"/>
    <w:rsid w:val="002D7C86"/>
    <w:rsid w:val="002E0692"/>
    <w:rsid w:val="002E08D7"/>
    <w:rsid w:val="002E152D"/>
    <w:rsid w:val="002E191D"/>
    <w:rsid w:val="002E1A54"/>
    <w:rsid w:val="002E1D74"/>
    <w:rsid w:val="002E2943"/>
    <w:rsid w:val="002E2CF1"/>
    <w:rsid w:val="002E34AF"/>
    <w:rsid w:val="002E378A"/>
    <w:rsid w:val="002E4AAC"/>
    <w:rsid w:val="002E4AFC"/>
    <w:rsid w:val="002E4D22"/>
    <w:rsid w:val="002E53DE"/>
    <w:rsid w:val="002E563B"/>
    <w:rsid w:val="002E5CFA"/>
    <w:rsid w:val="002E62D2"/>
    <w:rsid w:val="002E734F"/>
    <w:rsid w:val="002E746D"/>
    <w:rsid w:val="002E74AF"/>
    <w:rsid w:val="002E758C"/>
    <w:rsid w:val="002E7D75"/>
    <w:rsid w:val="002F0DB9"/>
    <w:rsid w:val="002F1038"/>
    <w:rsid w:val="002F22FF"/>
    <w:rsid w:val="002F28AA"/>
    <w:rsid w:val="002F2D8F"/>
    <w:rsid w:val="002F2FF0"/>
    <w:rsid w:val="002F3EC0"/>
    <w:rsid w:val="002F4C60"/>
    <w:rsid w:val="002F5BE4"/>
    <w:rsid w:val="002F64F6"/>
    <w:rsid w:val="002F695B"/>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297"/>
    <w:rsid w:val="003062E6"/>
    <w:rsid w:val="0030662D"/>
    <w:rsid w:val="003068B6"/>
    <w:rsid w:val="003071F6"/>
    <w:rsid w:val="00307FE0"/>
    <w:rsid w:val="003101EC"/>
    <w:rsid w:val="0031049E"/>
    <w:rsid w:val="003107EB"/>
    <w:rsid w:val="00310E66"/>
    <w:rsid w:val="003110EE"/>
    <w:rsid w:val="003115D7"/>
    <w:rsid w:val="00311C08"/>
    <w:rsid w:val="003125E0"/>
    <w:rsid w:val="00312ECE"/>
    <w:rsid w:val="0031393C"/>
    <w:rsid w:val="00313CB0"/>
    <w:rsid w:val="00313F96"/>
    <w:rsid w:val="003142FB"/>
    <w:rsid w:val="00314418"/>
    <w:rsid w:val="00314B0A"/>
    <w:rsid w:val="0031506C"/>
    <w:rsid w:val="003150CE"/>
    <w:rsid w:val="00315180"/>
    <w:rsid w:val="00315AAB"/>
    <w:rsid w:val="0031710E"/>
    <w:rsid w:val="003175E1"/>
    <w:rsid w:val="00320299"/>
    <w:rsid w:val="00321154"/>
    <w:rsid w:val="003211B0"/>
    <w:rsid w:val="00321EDA"/>
    <w:rsid w:val="003224AA"/>
    <w:rsid w:val="003224E7"/>
    <w:rsid w:val="00322BA8"/>
    <w:rsid w:val="00324628"/>
    <w:rsid w:val="00325D7A"/>
    <w:rsid w:val="00326145"/>
    <w:rsid w:val="0032651C"/>
    <w:rsid w:val="00326B21"/>
    <w:rsid w:val="00327163"/>
    <w:rsid w:val="00327305"/>
    <w:rsid w:val="00327531"/>
    <w:rsid w:val="00327E9C"/>
    <w:rsid w:val="00330187"/>
    <w:rsid w:val="003309E4"/>
    <w:rsid w:val="00331C77"/>
    <w:rsid w:val="00331DB6"/>
    <w:rsid w:val="00331F96"/>
    <w:rsid w:val="00332002"/>
    <w:rsid w:val="0033228D"/>
    <w:rsid w:val="00332B55"/>
    <w:rsid w:val="003336B9"/>
    <w:rsid w:val="0033476C"/>
    <w:rsid w:val="003348E0"/>
    <w:rsid w:val="00335069"/>
    <w:rsid w:val="00335630"/>
    <w:rsid w:val="00335EA8"/>
    <w:rsid w:val="003363DD"/>
    <w:rsid w:val="0033778D"/>
    <w:rsid w:val="00337810"/>
    <w:rsid w:val="00337A9C"/>
    <w:rsid w:val="00337B52"/>
    <w:rsid w:val="00337E8B"/>
    <w:rsid w:val="00340361"/>
    <w:rsid w:val="00340795"/>
    <w:rsid w:val="00340DFA"/>
    <w:rsid w:val="0034111C"/>
    <w:rsid w:val="00341947"/>
    <w:rsid w:val="00341E60"/>
    <w:rsid w:val="0034217F"/>
    <w:rsid w:val="00342AD2"/>
    <w:rsid w:val="003435BA"/>
    <w:rsid w:val="00343954"/>
    <w:rsid w:val="00344883"/>
    <w:rsid w:val="00344BCA"/>
    <w:rsid w:val="00345405"/>
    <w:rsid w:val="0034582A"/>
    <w:rsid w:val="00345D69"/>
    <w:rsid w:val="00345DDD"/>
    <w:rsid w:val="00346B41"/>
    <w:rsid w:val="00346FED"/>
    <w:rsid w:val="00347A41"/>
    <w:rsid w:val="003501B6"/>
    <w:rsid w:val="003515A9"/>
    <w:rsid w:val="00351E01"/>
    <w:rsid w:val="00352968"/>
    <w:rsid w:val="0035298B"/>
    <w:rsid w:val="00352D21"/>
    <w:rsid w:val="00353D79"/>
    <w:rsid w:val="0035443D"/>
    <w:rsid w:val="00354517"/>
    <w:rsid w:val="00354AA2"/>
    <w:rsid w:val="00354FEE"/>
    <w:rsid w:val="00356275"/>
    <w:rsid w:val="00356C0B"/>
    <w:rsid w:val="00357B9C"/>
    <w:rsid w:val="00361412"/>
    <w:rsid w:val="003615CA"/>
    <w:rsid w:val="003621AC"/>
    <w:rsid w:val="00363B2C"/>
    <w:rsid w:val="003642A6"/>
    <w:rsid w:val="00364763"/>
    <w:rsid w:val="00365C3D"/>
    <w:rsid w:val="00366C1B"/>
    <w:rsid w:val="00367337"/>
    <w:rsid w:val="00367367"/>
    <w:rsid w:val="00367FD8"/>
    <w:rsid w:val="0037004E"/>
    <w:rsid w:val="0037051E"/>
    <w:rsid w:val="00370B63"/>
    <w:rsid w:val="00370FCC"/>
    <w:rsid w:val="003711AF"/>
    <w:rsid w:val="003723F4"/>
    <w:rsid w:val="003735C6"/>
    <w:rsid w:val="00374848"/>
    <w:rsid w:val="0037550F"/>
    <w:rsid w:val="003757A1"/>
    <w:rsid w:val="003759F1"/>
    <w:rsid w:val="00375D09"/>
    <w:rsid w:val="003762DC"/>
    <w:rsid w:val="00376AA7"/>
    <w:rsid w:val="00376FC4"/>
    <w:rsid w:val="0037739D"/>
    <w:rsid w:val="0037751C"/>
    <w:rsid w:val="00377680"/>
    <w:rsid w:val="00377D61"/>
    <w:rsid w:val="0038060B"/>
    <w:rsid w:val="003806CA"/>
    <w:rsid w:val="00380B66"/>
    <w:rsid w:val="00380F3F"/>
    <w:rsid w:val="003813BB"/>
    <w:rsid w:val="00381953"/>
    <w:rsid w:val="00382232"/>
    <w:rsid w:val="00382F1A"/>
    <w:rsid w:val="00382F9A"/>
    <w:rsid w:val="00383282"/>
    <w:rsid w:val="00383422"/>
    <w:rsid w:val="00383658"/>
    <w:rsid w:val="0038412E"/>
    <w:rsid w:val="00386053"/>
    <w:rsid w:val="003861E5"/>
    <w:rsid w:val="00387459"/>
    <w:rsid w:val="0038771D"/>
    <w:rsid w:val="00387B43"/>
    <w:rsid w:val="00387E2A"/>
    <w:rsid w:val="00390935"/>
    <w:rsid w:val="00391DB3"/>
    <w:rsid w:val="0039241F"/>
    <w:rsid w:val="00392491"/>
    <w:rsid w:val="003934B6"/>
    <w:rsid w:val="00393517"/>
    <w:rsid w:val="003935B0"/>
    <w:rsid w:val="00393E44"/>
    <w:rsid w:val="00394301"/>
    <w:rsid w:val="003944A9"/>
    <w:rsid w:val="0039747B"/>
    <w:rsid w:val="00397AB6"/>
    <w:rsid w:val="00397ACA"/>
    <w:rsid w:val="003A10C3"/>
    <w:rsid w:val="003A35DD"/>
    <w:rsid w:val="003A495D"/>
    <w:rsid w:val="003A4A40"/>
    <w:rsid w:val="003A4C7C"/>
    <w:rsid w:val="003A5611"/>
    <w:rsid w:val="003A57B8"/>
    <w:rsid w:val="003A5844"/>
    <w:rsid w:val="003A597F"/>
    <w:rsid w:val="003A71A8"/>
    <w:rsid w:val="003A71D2"/>
    <w:rsid w:val="003A78D4"/>
    <w:rsid w:val="003A78E6"/>
    <w:rsid w:val="003B00CA"/>
    <w:rsid w:val="003B030B"/>
    <w:rsid w:val="003B0432"/>
    <w:rsid w:val="003B0821"/>
    <w:rsid w:val="003B0BE9"/>
    <w:rsid w:val="003B0F4B"/>
    <w:rsid w:val="003B2E9B"/>
    <w:rsid w:val="003B2F8D"/>
    <w:rsid w:val="003B3C64"/>
    <w:rsid w:val="003B4FAA"/>
    <w:rsid w:val="003B547A"/>
    <w:rsid w:val="003B5E03"/>
    <w:rsid w:val="003B632F"/>
    <w:rsid w:val="003B6EC0"/>
    <w:rsid w:val="003B75B9"/>
    <w:rsid w:val="003B7820"/>
    <w:rsid w:val="003C087B"/>
    <w:rsid w:val="003C0DA2"/>
    <w:rsid w:val="003C1A18"/>
    <w:rsid w:val="003C2B40"/>
    <w:rsid w:val="003C4232"/>
    <w:rsid w:val="003C5C41"/>
    <w:rsid w:val="003C5D2B"/>
    <w:rsid w:val="003C669D"/>
    <w:rsid w:val="003C6877"/>
    <w:rsid w:val="003C6EA0"/>
    <w:rsid w:val="003C7062"/>
    <w:rsid w:val="003C7461"/>
    <w:rsid w:val="003D0788"/>
    <w:rsid w:val="003D132A"/>
    <w:rsid w:val="003D1517"/>
    <w:rsid w:val="003D1D50"/>
    <w:rsid w:val="003D1F02"/>
    <w:rsid w:val="003D232D"/>
    <w:rsid w:val="003D286B"/>
    <w:rsid w:val="003D2938"/>
    <w:rsid w:val="003D3783"/>
    <w:rsid w:val="003D3B36"/>
    <w:rsid w:val="003D3FBA"/>
    <w:rsid w:val="003D402B"/>
    <w:rsid w:val="003D54B0"/>
    <w:rsid w:val="003D6B1F"/>
    <w:rsid w:val="003D764F"/>
    <w:rsid w:val="003D76EF"/>
    <w:rsid w:val="003D79DE"/>
    <w:rsid w:val="003E0042"/>
    <w:rsid w:val="003E0667"/>
    <w:rsid w:val="003E0BCE"/>
    <w:rsid w:val="003E0DF3"/>
    <w:rsid w:val="003E13E0"/>
    <w:rsid w:val="003E1660"/>
    <w:rsid w:val="003E182B"/>
    <w:rsid w:val="003E1CD1"/>
    <w:rsid w:val="003E2A2D"/>
    <w:rsid w:val="003E34AB"/>
    <w:rsid w:val="003E47D4"/>
    <w:rsid w:val="003E489E"/>
    <w:rsid w:val="003E5032"/>
    <w:rsid w:val="003E50B9"/>
    <w:rsid w:val="003E64A9"/>
    <w:rsid w:val="003E6B81"/>
    <w:rsid w:val="003E6C41"/>
    <w:rsid w:val="003E7905"/>
    <w:rsid w:val="003E7CD2"/>
    <w:rsid w:val="003F0336"/>
    <w:rsid w:val="003F0367"/>
    <w:rsid w:val="003F3480"/>
    <w:rsid w:val="003F3520"/>
    <w:rsid w:val="003F3FCC"/>
    <w:rsid w:val="003F4859"/>
    <w:rsid w:val="003F5547"/>
    <w:rsid w:val="003F5C40"/>
    <w:rsid w:val="003F6E12"/>
    <w:rsid w:val="003F6F8B"/>
    <w:rsid w:val="003F74F9"/>
    <w:rsid w:val="003F75ED"/>
    <w:rsid w:val="003F7F6A"/>
    <w:rsid w:val="004002B7"/>
    <w:rsid w:val="0040066E"/>
    <w:rsid w:val="00400F31"/>
    <w:rsid w:val="004014F8"/>
    <w:rsid w:val="00401C37"/>
    <w:rsid w:val="00402135"/>
    <w:rsid w:val="004023BA"/>
    <w:rsid w:val="00403016"/>
    <w:rsid w:val="0040449A"/>
    <w:rsid w:val="0040626F"/>
    <w:rsid w:val="0040631E"/>
    <w:rsid w:val="00406582"/>
    <w:rsid w:val="00406B4D"/>
    <w:rsid w:val="004100B6"/>
    <w:rsid w:val="0041033C"/>
    <w:rsid w:val="00410869"/>
    <w:rsid w:val="00412BE6"/>
    <w:rsid w:val="0041343E"/>
    <w:rsid w:val="0041443C"/>
    <w:rsid w:val="0041488F"/>
    <w:rsid w:val="004154F7"/>
    <w:rsid w:val="00416895"/>
    <w:rsid w:val="00416D44"/>
    <w:rsid w:val="004176FF"/>
    <w:rsid w:val="00417A1E"/>
    <w:rsid w:val="00420082"/>
    <w:rsid w:val="00420111"/>
    <w:rsid w:val="00421A27"/>
    <w:rsid w:val="00421D0A"/>
    <w:rsid w:val="004226C3"/>
    <w:rsid w:val="004228BA"/>
    <w:rsid w:val="00423520"/>
    <w:rsid w:val="004241C5"/>
    <w:rsid w:val="0042432D"/>
    <w:rsid w:val="00424FA7"/>
    <w:rsid w:val="004258E1"/>
    <w:rsid w:val="00425D2C"/>
    <w:rsid w:val="004260FB"/>
    <w:rsid w:val="00426A87"/>
    <w:rsid w:val="00427007"/>
    <w:rsid w:val="004275D0"/>
    <w:rsid w:val="004309D8"/>
    <w:rsid w:val="004313D1"/>
    <w:rsid w:val="00432110"/>
    <w:rsid w:val="004328EE"/>
    <w:rsid w:val="00432F72"/>
    <w:rsid w:val="00433282"/>
    <w:rsid w:val="00433D49"/>
    <w:rsid w:val="00433EBE"/>
    <w:rsid w:val="00434406"/>
    <w:rsid w:val="0043457B"/>
    <w:rsid w:val="00434E6D"/>
    <w:rsid w:val="00435E42"/>
    <w:rsid w:val="00436460"/>
    <w:rsid w:val="004367F3"/>
    <w:rsid w:val="00440E65"/>
    <w:rsid w:val="00440FED"/>
    <w:rsid w:val="00441B92"/>
    <w:rsid w:val="0044294F"/>
    <w:rsid w:val="00442AC7"/>
    <w:rsid w:val="00442E49"/>
    <w:rsid w:val="004437BA"/>
    <w:rsid w:val="00443A9F"/>
    <w:rsid w:val="0044474B"/>
    <w:rsid w:val="00445FF7"/>
    <w:rsid w:val="00446F75"/>
    <w:rsid w:val="00450635"/>
    <w:rsid w:val="004508A8"/>
    <w:rsid w:val="00450D99"/>
    <w:rsid w:val="00451BAE"/>
    <w:rsid w:val="0045213E"/>
    <w:rsid w:val="004524FB"/>
    <w:rsid w:val="00452AAE"/>
    <w:rsid w:val="00452CA7"/>
    <w:rsid w:val="00453341"/>
    <w:rsid w:val="004545C6"/>
    <w:rsid w:val="00454DCA"/>
    <w:rsid w:val="00454E26"/>
    <w:rsid w:val="00456165"/>
    <w:rsid w:val="0045653C"/>
    <w:rsid w:val="00456544"/>
    <w:rsid w:val="00456649"/>
    <w:rsid w:val="004567B7"/>
    <w:rsid w:val="004567DC"/>
    <w:rsid w:val="00456856"/>
    <w:rsid w:val="004571EF"/>
    <w:rsid w:val="0045730B"/>
    <w:rsid w:val="0046047A"/>
    <w:rsid w:val="00461210"/>
    <w:rsid w:val="00461700"/>
    <w:rsid w:val="00461AAC"/>
    <w:rsid w:val="004621D5"/>
    <w:rsid w:val="00462490"/>
    <w:rsid w:val="00462AC9"/>
    <w:rsid w:val="00462AE6"/>
    <w:rsid w:val="00463DC3"/>
    <w:rsid w:val="00465299"/>
    <w:rsid w:val="00465611"/>
    <w:rsid w:val="00466A0F"/>
    <w:rsid w:val="00467502"/>
    <w:rsid w:val="0046795B"/>
    <w:rsid w:val="00467BE6"/>
    <w:rsid w:val="00470588"/>
    <w:rsid w:val="004708C0"/>
    <w:rsid w:val="0047115F"/>
    <w:rsid w:val="004715CB"/>
    <w:rsid w:val="00471863"/>
    <w:rsid w:val="00473777"/>
    <w:rsid w:val="00473A14"/>
    <w:rsid w:val="00474096"/>
    <w:rsid w:val="004745A9"/>
    <w:rsid w:val="00474871"/>
    <w:rsid w:val="00474CA8"/>
    <w:rsid w:val="00474E43"/>
    <w:rsid w:val="00476204"/>
    <w:rsid w:val="0047635A"/>
    <w:rsid w:val="004766DA"/>
    <w:rsid w:val="00476A55"/>
    <w:rsid w:val="0048076D"/>
    <w:rsid w:val="00480879"/>
    <w:rsid w:val="0048134D"/>
    <w:rsid w:val="00481624"/>
    <w:rsid w:val="00481765"/>
    <w:rsid w:val="00481D90"/>
    <w:rsid w:val="00482700"/>
    <w:rsid w:val="00482927"/>
    <w:rsid w:val="00482B0B"/>
    <w:rsid w:val="00482CD4"/>
    <w:rsid w:val="00483261"/>
    <w:rsid w:val="0048328A"/>
    <w:rsid w:val="00483ED3"/>
    <w:rsid w:val="00484377"/>
    <w:rsid w:val="00484A97"/>
    <w:rsid w:val="00485B23"/>
    <w:rsid w:val="00485B50"/>
    <w:rsid w:val="00485D49"/>
    <w:rsid w:val="00485DF2"/>
    <w:rsid w:val="0048671B"/>
    <w:rsid w:val="00486B89"/>
    <w:rsid w:val="004874E4"/>
    <w:rsid w:val="00487FBB"/>
    <w:rsid w:val="0049070D"/>
    <w:rsid w:val="004907D4"/>
    <w:rsid w:val="00490A39"/>
    <w:rsid w:val="00490E82"/>
    <w:rsid w:val="00491BE4"/>
    <w:rsid w:val="00491DB2"/>
    <w:rsid w:val="0049206C"/>
    <w:rsid w:val="00492721"/>
    <w:rsid w:val="00492877"/>
    <w:rsid w:val="00493659"/>
    <w:rsid w:val="0049418C"/>
    <w:rsid w:val="00494DB4"/>
    <w:rsid w:val="004950C5"/>
    <w:rsid w:val="00495BA6"/>
    <w:rsid w:val="0049688C"/>
    <w:rsid w:val="00496DC2"/>
    <w:rsid w:val="00496E75"/>
    <w:rsid w:val="004A014C"/>
    <w:rsid w:val="004A0AA8"/>
    <w:rsid w:val="004A1345"/>
    <w:rsid w:val="004A1FE4"/>
    <w:rsid w:val="004A2103"/>
    <w:rsid w:val="004A2CA9"/>
    <w:rsid w:val="004A2DF8"/>
    <w:rsid w:val="004A3064"/>
    <w:rsid w:val="004A33EF"/>
    <w:rsid w:val="004A34C9"/>
    <w:rsid w:val="004A351E"/>
    <w:rsid w:val="004A3CB5"/>
    <w:rsid w:val="004A537D"/>
    <w:rsid w:val="004A65B3"/>
    <w:rsid w:val="004A67F0"/>
    <w:rsid w:val="004A71C3"/>
    <w:rsid w:val="004A71D5"/>
    <w:rsid w:val="004A7769"/>
    <w:rsid w:val="004A77B1"/>
    <w:rsid w:val="004B1DF7"/>
    <w:rsid w:val="004B23AD"/>
    <w:rsid w:val="004B2965"/>
    <w:rsid w:val="004B3265"/>
    <w:rsid w:val="004B3545"/>
    <w:rsid w:val="004B3FD8"/>
    <w:rsid w:val="004B4224"/>
    <w:rsid w:val="004B4297"/>
    <w:rsid w:val="004B4647"/>
    <w:rsid w:val="004B4952"/>
    <w:rsid w:val="004B68AF"/>
    <w:rsid w:val="004B6B25"/>
    <w:rsid w:val="004B7455"/>
    <w:rsid w:val="004B74FF"/>
    <w:rsid w:val="004B7CE4"/>
    <w:rsid w:val="004C0401"/>
    <w:rsid w:val="004C0B5F"/>
    <w:rsid w:val="004C0C49"/>
    <w:rsid w:val="004C1096"/>
    <w:rsid w:val="004C1167"/>
    <w:rsid w:val="004C183D"/>
    <w:rsid w:val="004C394F"/>
    <w:rsid w:val="004C3EB1"/>
    <w:rsid w:val="004C3EC7"/>
    <w:rsid w:val="004C3EEE"/>
    <w:rsid w:val="004C3FAF"/>
    <w:rsid w:val="004C483D"/>
    <w:rsid w:val="004C49EA"/>
    <w:rsid w:val="004C4C13"/>
    <w:rsid w:val="004C4D15"/>
    <w:rsid w:val="004C6DA5"/>
    <w:rsid w:val="004C795A"/>
    <w:rsid w:val="004C7F93"/>
    <w:rsid w:val="004D045F"/>
    <w:rsid w:val="004D0AD8"/>
    <w:rsid w:val="004D2629"/>
    <w:rsid w:val="004D26B8"/>
    <w:rsid w:val="004D2825"/>
    <w:rsid w:val="004D2C2C"/>
    <w:rsid w:val="004D2DF9"/>
    <w:rsid w:val="004D3497"/>
    <w:rsid w:val="004D38C2"/>
    <w:rsid w:val="004D3A0B"/>
    <w:rsid w:val="004D3E6B"/>
    <w:rsid w:val="004D41DC"/>
    <w:rsid w:val="004D4FBD"/>
    <w:rsid w:val="004D4FC0"/>
    <w:rsid w:val="004D5CE7"/>
    <w:rsid w:val="004D6381"/>
    <w:rsid w:val="004D7DA8"/>
    <w:rsid w:val="004E10CD"/>
    <w:rsid w:val="004E11FC"/>
    <w:rsid w:val="004E1401"/>
    <w:rsid w:val="004E2892"/>
    <w:rsid w:val="004E362B"/>
    <w:rsid w:val="004E3681"/>
    <w:rsid w:val="004E3D74"/>
    <w:rsid w:val="004E56BC"/>
    <w:rsid w:val="004E5DE1"/>
    <w:rsid w:val="004E5F74"/>
    <w:rsid w:val="004E6112"/>
    <w:rsid w:val="004E7178"/>
    <w:rsid w:val="004E77E5"/>
    <w:rsid w:val="004E784B"/>
    <w:rsid w:val="004E7C09"/>
    <w:rsid w:val="004F0224"/>
    <w:rsid w:val="004F0DB4"/>
    <w:rsid w:val="004F0E04"/>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1304"/>
    <w:rsid w:val="00501425"/>
    <w:rsid w:val="0050318B"/>
    <w:rsid w:val="00503CF2"/>
    <w:rsid w:val="00504311"/>
    <w:rsid w:val="0050485C"/>
    <w:rsid w:val="00504AC6"/>
    <w:rsid w:val="00504D75"/>
    <w:rsid w:val="005053A9"/>
    <w:rsid w:val="00505D51"/>
    <w:rsid w:val="00506356"/>
    <w:rsid w:val="005065AC"/>
    <w:rsid w:val="00506845"/>
    <w:rsid w:val="00506D8A"/>
    <w:rsid w:val="00507204"/>
    <w:rsid w:val="00507707"/>
    <w:rsid w:val="00507B7A"/>
    <w:rsid w:val="005103C9"/>
    <w:rsid w:val="00510873"/>
    <w:rsid w:val="00510ABC"/>
    <w:rsid w:val="00511079"/>
    <w:rsid w:val="00511411"/>
    <w:rsid w:val="00511CDF"/>
    <w:rsid w:val="00512829"/>
    <w:rsid w:val="005134D0"/>
    <w:rsid w:val="00513839"/>
    <w:rsid w:val="00513DEF"/>
    <w:rsid w:val="00513E72"/>
    <w:rsid w:val="0051423C"/>
    <w:rsid w:val="0051476D"/>
    <w:rsid w:val="005148D4"/>
    <w:rsid w:val="00514C91"/>
    <w:rsid w:val="0051510B"/>
    <w:rsid w:val="005153CE"/>
    <w:rsid w:val="00515D5F"/>
    <w:rsid w:val="00516241"/>
    <w:rsid w:val="005162CE"/>
    <w:rsid w:val="005166F9"/>
    <w:rsid w:val="00516AF4"/>
    <w:rsid w:val="00516FD9"/>
    <w:rsid w:val="0051701F"/>
    <w:rsid w:val="00517194"/>
    <w:rsid w:val="0051791D"/>
    <w:rsid w:val="00520628"/>
    <w:rsid w:val="00520D6D"/>
    <w:rsid w:val="00520FD7"/>
    <w:rsid w:val="005212FD"/>
    <w:rsid w:val="00521425"/>
    <w:rsid w:val="00521928"/>
    <w:rsid w:val="00523E75"/>
    <w:rsid w:val="005243E0"/>
    <w:rsid w:val="005256F3"/>
    <w:rsid w:val="0052600E"/>
    <w:rsid w:val="0052628F"/>
    <w:rsid w:val="005265A3"/>
    <w:rsid w:val="00526783"/>
    <w:rsid w:val="005269BC"/>
    <w:rsid w:val="0052773A"/>
    <w:rsid w:val="00527FB1"/>
    <w:rsid w:val="00530423"/>
    <w:rsid w:val="00530949"/>
    <w:rsid w:val="0053107E"/>
    <w:rsid w:val="005312CB"/>
    <w:rsid w:val="0053162F"/>
    <w:rsid w:val="00531777"/>
    <w:rsid w:val="00532675"/>
    <w:rsid w:val="0053281C"/>
    <w:rsid w:val="00532AD0"/>
    <w:rsid w:val="0053311D"/>
    <w:rsid w:val="00533B93"/>
    <w:rsid w:val="005340C9"/>
    <w:rsid w:val="0053444E"/>
    <w:rsid w:val="0053445C"/>
    <w:rsid w:val="00535538"/>
    <w:rsid w:val="00535BA8"/>
    <w:rsid w:val="00535E88"/>
    <w:rsid w:val="00536698"/>
    <w:rsid w:val="005375FE"/>
    <w:rsid w:val="00537F11"/>
    <w:rsid w:val="00540BFC"/>
    <w:rsid w:val="0054195A"/>
    <w:rsid w:val="005420DE"/>
    <w:rsid w:val="00542249"/>
    <w:rsid w:val="00542FAA"/>
    <w:rsid w:val="005431F5"/>
    <w:rsid w:val="00543707"/>
    <w:rsid w:val="005439D2"/>
    <w:rsid w:val="00543EBB"/>
    <w:rsid w:val="00544213"/>
    <w:rsid w:val="005444E8"/>
    <w:rsid w:val="0054486D"/>
    <w:rsid w:val="0054521C"/>
    <w:rsid w:val="005453CB"/>
    <w:rsid w:val="005453F3"/>
    <w:rsid w:val="00545549"/>
    <w:rsid w:val="005462C0"/>
    <w:rsid w:val="00546572"/>
    <w:rsid w:val="005469F5"/>
    <w:rsid w:val="00546F36"/>
    <w:rsid w:val="005518ED"/>
    <w:rsid w:val="00552093"/>
    <w:rsid w:val="00553E9D"/>
    <w:rsid w:val="00553FE1"/>
    <w:rsid w:val="00554C49"/>
    <w:rsid w:val="00554E06"/>
    <w:rsid w:val="00554E4B"/>
    <w:rsid w:val="0055519C"/>
    <w:rsid w:val="005554C1"/>
    <w:rsid w:val="00555F67"/>
    <w:rsid w:val="00556E32"/>
    <w:rsid w:val="005604F1"/>
    <w:rsid w:val="005606A4"/>
    <w:rsid w:val="0056079F"/>
    <w:rsid w:val="005607B8"/>
    <w:rsid w:val="00560CF5"/>
    <w:rsid w:val="0056137E"/>
    <w:rsid w:val="00562581"/>
    <w:rsid w:val="0056272D"/>
    <w:rsid w:val="00562BAB"/>
    <w:rsid w:val="00563047"/>
    <w:rsid w:val="0056308E"/>
    <w:rsid w:val="005638C1"/>
    <w:rsid w:val="00563F16"/>
    <w:rsid w:val="0056415C"/>
    <w:rsid w:val="005642C8"/>
    <w:rsid w:val="005649BF"/>
    <w:rsid w:val="005650ED"/>
    <w:rsid w:val="00565869"/>
    <w:rsid w:val="00567415"/>
    <w:rsid w:val="00567610"/>
    <w:rsid w:val="00570CFD"/>
    <w:rsid w:val="00570D9F"/>
    <w:rsid w:val="00571672"/>
    <w:rsid w:val="0057185C"/>
    <w:rsid w:val="00571CA8"/>
    <w:rsid w:val="00572947"/>
    <w:rsid w:val="00573138"/>
    <w:rsid w:val="0057322B"/>
    <w:rsid w:val="005734A7"/>
    <w:rsid w:val="005746C4"/>
    <w:rsid w:val="00574B50"/>
    <w:rsid w:val="005753E3"/>
    <w:rsid w:val="005756BA"/>
    <w:rsid w:val="00576F26"/>
    <w:rsid w:val="00577835"/>
    <w:rsid w:val="00580793"/>
    <w:rsid w:val="00581470"/>
    <w:rsid w:val="00581B62"/>
    <w:rsid w:val="00581BAD"/>
    <w:rsid w:val="00581D62"/>
    <w:rsid w:val="00582087"/>
    <w:rsid w:val="0058228A"/>
    <w:rsid w:val="00582F21"/>
    <w:rsid w:val="005831DD"/>
    <w:rsid w:val="00583DC5"/>
    <w:rsid w:val="00584320"/>
    <w:rsid w:val="00584CB8"/>
    <w:rsid w:val="00585484"/>
    <w:rsid w:val="0058624A"/>
    <w:rsid w:val="00586EB1"/>
    <w:rsid w:val="00587229"/>
    <w:rsid w:val="00587503"/>
    <w:rsid w:val="00587F7F"/>
    <w:rsid w:val="0059016A"/>
    <w:rsid w:val="00590E8D"/>
    <w:rsid w:val="00590FAC"/>
    <w:rsid w:val="00591400"/>
    <w:rsid w:val="00591511"/>
    <w:rsid w:val="00591E50"/>
    <w:rsid w:val="00592CDA"/>
    <w:rsid w:val="0059331A"/>
    <w:rsid w:val="00593A72"/>
    <w:rsid w:val="0059465F"/>
    <w:rsid w:val="00594BE0"/>
    <w:rsid w:val="00594D2A"/>
    <w:rsid w:val="00595A8C"/>
    <w:rsid w:val="00595C2C"/>
    <w:rsid w:val="00596BBA"/>
    <w:rsid w:val="00596F32"/>
    <w:rsid w:val="00597386"/>
    <w:rsid w:val="005975C4"/>
    <w:rsid w:val="00597ED8"/>
    <w:rsid w:val="005A17AE"/>
    <w:rsid w:val="005A1881"/>
    <w:rsid w:val="005A1A86"/>
    <w:rsid w:val="005A2B20"/>
    <w:rsid w:val="005A2FFE"/>
    <w:rsid w:val="005A34D5"/>
    <w:rsid w:val="005A3943"/>
    <w:rsid w:val="005A4904"/>
    <w:rsid w:val="005A4910"/>
    <w:rsid w:val="005A515A"/>
    <w:rsid w:val="005A57CB"/>
    <w:rsid w:val="005A6D44"/>
    <w:rsid w:val="005A704D"/>
    <w:rsid w:val="005A7B68"/>
    <w:rsid w:val="005A7EB4"/>
    <w:rsid w:val="005B0B7D"/>
    <w:rsid w:val="005B1528"/>
    <w:rsid w:val="005B268C"/>
    <w:rsid w:val="005B3C6D"/>
    <w:rsid w:val="005B4045"/>
    <w:rsid w:val="005B50FF"/>
    <w:rsid w:val="005B609E"/>
    <w:rsid w:val="005B6DF6"/>
    <w:rsid w:val="005B7B7D"/>
    <w:rsid w:val="005C1948"/>
    <w:rsid w:val="005C22F9"/>
    <w:rsid w:val="005C263C"/>
    <w:rsid w:val="005C2679"/>
    <w:rsid w:val="005C27B6"/>
    <w:rsid w:val="005C298C"/>
    <w:rsid w:val="005C4BFB"/>
    <w:rsid w:val="005C5623"/>
    <w:rsid w:val="005C5870"/>
    <w:rsid w:val="005C714E"/>
    <w:rsid w:val="005D059A"/>
    <w:rsid w:val="005D07C5"/>
    <w:rsid w:val="005D088D"/>
    <w:rsid w:val="005D21B7"/>
    <w:rsid w:val="005D2DAD"/>
    <w:rsid w:val="005D4302"/>
    <w:rsid w:val="005D4C8D"/>
    <w:rsid w:val="005D5A20"/>
    <w:rsid w:val="005D6DA1"/>
    <w:rsid w:val="005D701D"/>
    <w:rsid w:val="005D786C"/>
    <w:rsid w:val="005E00E5"/>
    <w:rsid w:val="005E0148"/>
    <w:rsid w:val="005E0225"/>
    <w:rsid w:val="005E049F"/>
    <w:rsid w:val="005E0BB6"/>
    <w:rsid w:val="005E1737"/>
    <w:rsid w:val="005E2E4A"/>
    <w:rsid w:val="005E3073"/>
    <w:rsid w:val="005E316A"/>
    <w:rsid w:val="005E4B83"/>
    <w:rsid w:val="005E7088"/>
    <w:rsid w:val="005E72E8"/>
    <w:rsid w:val="005E7E1B"/>
    <w:rsid w:val="005F0108"/>
    <w:rsid w:val="005F0291"/>
    <w:rsid w:val="005F0ECC"/>
    <w:rsid w:val="005F21A5"/>
    <w:rsid w:val="005F2470"/>
    <w:rsid w:val="005F28C6"/>
    <w:rsid w:val="005F2CB0"/>
    <w:rsid w:val="005F3F16"/>
    <w:rsid w:val="005F4310"/>
    <w:rsid w:val="005F434D"/>
    <w:rsid w:val="005F4806"/>
    <w:rsid w:val="005F4EE1"/>
    <w:rsid w:val="005F52CC"/>
    <w:rsid w:val="005F5E6F"/>
    <w:rsid w:val="005F5F16"/>
    <w:rsid w:val="005F6510"/>
    <w:rsid w:val="005F681C"/>
    <w:rsid w:val="005F6BD4"/>
    <w:rsid w:val="005F6F88"/>
    <w:rsid w:val="005F7188"/>
    <w:rsid w:val="005F7985"/>
    <w:rsid w:val="00600CEB"/>
    <w:rsid w:val="00602058"/>
    <w:rsid w:val="00602A78"/>
    <w:rsid w:val="00602A84"/>
    <w:rsid w:val="00602AA1"/>
    <w:rsid w:val="00602DC4"/>
    <w:rsid w:val="00603123"/>
    <w:rsid w:val="006036F4"/>
    <w:rsid w:val="00604151"/>
    <w:rsid w:val="0060435F"/>
    <w:rsid w:val="00604367"/>
    <w:rsid w:val="006044BE"/>
    <w:rsid w:val="0060475F"/>
    <w:rsid w:val="006047DF"/>
    <w:rsid w:val="00604804"/>
    <w:rsid w:val="00604DE1"/>
    <w:rsid w:val="00604F41"/>
    <w:rsid w:val="006060C2"/>
    <w:rsid w:val="00606A26"/>
    <w:rsid w:val="00607218"/>
    <w:rsid w:val="00607AC7"/>
    <w:rsid w:val="00607C07"/>
    <w:rsid w:val="00607D81"/>
    <w:rsid w:val="00610747"/>
    <w:rsid w:val="00610B77"/>
    <w:rsid w:val="00610E03"/>
    <w:rsid w:val="0061176E"/>
    <w:rsid w:val="00612261"/>
    <w:rsid w:val="00613EA5"/>
    <w:rsid w:val="006142B8"/>
    <w:rsid w:val="00614CD1"/>
    <w:rsid w:val="006151F2"/>
    <w:rsid w:val="0061567B"/>
    <w:rsid w:val="00615AC8"/>
    <w:rsid w:val="006200AB"/>
    <w:rsid w:val="00620B92"/>
    <w:rsid w:val="0062152A"/>
    <w:rsid w:val="00621753"/>
    <w:rsid w:val="00623583"/>
    <w:rsid w:val="0062462F"/>
    <w:rsid w:val="00624BA1"/>
    <w:rsid w:val="00624CA9"/>
    <w:rsid w:val="006264CB"/>
    <w:rsid w:val="0062661B"/>
    <w:rsid w:val="006275F5"/>
    <w:rsid w:val="00627832"/>
    <w:rsid w:val="00630118"/>
    <w:rsid w:val="00630514"/>
    <w:rsid w:val="006310AE"/>
    <w:rsid w:val="00631762"/>
    <w:rsid w:val="00632196"/>
    <w:rsid w:val="00632900"/>
    <w:rsid w:val="00632BA2"/>
    <w:rsid w:val="00632DAD"/>
    <w:rsid w:val="0063314C"/>
    <w:rsid w:val="00633BF2"/>
    <w:rsid w:val="00633F67"/>
    <w:rsid w:val="006345C3"/>
    <w:rsid w:val="0063488F"/>
    <w:rsid w:val="00634FD5"/>
    <w:rsid w:val="0063520D"/>
    <w:rsid w:val="0063530F"/>
    <w:rsid w:val="00635781"/>
    <w:rsid w:val="006362F9"/>
    <w:rsid w:val="006369A9"/>
    <w:rsid w:val="006373CD"/>
    <w:rsid w:val="00637B7A"/>
    <w:rsid w:val="00637C99"/>
    <w:rsid w:val="00641283"/>
    <w:rsid w:val="006413CF"/>
    <w:rsid w:val="00641413"/>
    <w:rsid w:val="00641465"/>
    <w:rsid w:val="00641536"/>
    <w:rsid w:val="0064165D"/>
    <w:rsid w:val="00642084"/>
    <w:rsid w:val="00642E77"/>
    <w:rsid w:val="00642E8C"/>
    <w:rsid w:val="006433BD"/>
    <w:rsid w:val="00643562"/>
    <w:rsid w:val="00643784"/>
    <w:rsid w:val="00644186"/>
    <w:rsid w:val="00644623"/>
    <w:rsid w:val="00644A21"/>
    <w:rsid w:val="00645C9F"/>
    <w:rsid w:val="00646305"/>
    <w:rsid w:val="00646353"/>
    <w:rsid w:val="00646864"/>
    <w:rsid w:val="00646A6C"/>
    <w:rsid w:val="006475E6"/>
    <w:rsid w:val="006508B9"/>
    <w:rsid w:val="00650B2E"/>
    <w:rsid w:val="00650CA1"/>
    <w:rsid w:val="0065143C"/>
    <w:rsid w:val="00651854"/>
    <w:rsid w:val="00652026"/>
    <w:rsid w:val="00652578"/>
    <w:rsid w:val="00653691"/>
    <w:rsid w:val="006539E8"/>
    <w:rsid w:val="006541DF"/>
    <w:rsid w:val="00656307"/>
    <w:rsid w:val="006565D8"/>
    <w:rsid w:val="00656B96"/>
    <w:rsid w:val="00656BA0"/>
    <w:rsid w:val="00656F79"/>
    <w:rsid w:val="006570EB"/>
    <w:rsid w:val="0065736B"/>
    <w:rsid w:val="006578E4"/>
    <w:rsid w:val="00657AE5"/>
    <w:rsid w:val="0066161B"/>
    <w:rsid w:val="006619B0"/>
    <w:rsid w:val="00662012"/>
    <w:rsid w:val="00662543"/>
    <w:rsid w:val="006626D0"/>
    <w:rsid w:val="006628BF"/>
    <w:rsid w:val="006628E9"/>
    <w:rsid w:val="00663887"/>
    <w:rsid w:val="006641F4"/>
    <w:rsid w:val="00664234"/>
    <w:rsid w:val="00664E8C"/>
    <w:rsid w:val="00665F7C"/>
    <w:rsid w:val="0066699A"/>
    <w:rsid w:val="00666DFC"/>
    <w:rsid w:val="00666EBB"/>
    <w:rsid w:val="00667325"/>
    <w:rsid w:val="0066779E"/>
    <w:rsid w:val="00667F3C"/>
    <w:rsid w:val="00667FAF"/>
    <w:rsid w:val="0067096D"/>
    <w:rsid w:val="00670AF4"/>
    <w:rsid w:val="006719E0"/>
    <w:rsid w:val="0067269D"/>
    <w:rsid w:val="00672988"/>
    <w:rsid w:val="00672C64"/>
    <w:rsid w:val="006735C6"/>
    <w:rsid w:val="006746D2"/>
    <w:rsid w:val="00674D5E"/>
    <w:rsid w:val="00674E6A"/>
    <w:rsid w:val="00675CF4"/>
    <w:rsid w:val="00675EB7"/>
    <w:rsid w:val="006763CC"/>
    <w:rsid w:val="00676A64"/>
    <w:rsid w:val="00677925"/>
    <w:rsid w:val="006779BF"/>
    <w:rsid w:val="00677F44"/>
    <w:rsid w:val="00680462"/>
    <w:rsid w:val="00680F46"/>
    <w:rsid w:val="00681BC4"/>
    <w:rsid w:val="00681FDC"/>
    <w:rsid w:val="00682B53"/>
    <w:rsid w:val="00682F27"/>
    <w:rsid w:val="006859DB"/>
    <w:rsid w:val="0068678D"/>
    <w:rsid w:val="00687399"/>
    <w:rsid w:val="00687488"/>
    <w:rsid w:val="00690189"/>
    <w:rsid w:val="006904ED"/>
    <w:rsid w:val="00690E2E"/>
    <w:rsid w:val="006915D7"/>
    <w:rsid w:val="00691E9F"/>
    <w:rsid w:val="006926A6"/>
    <w:rsid w:val="00692814"/>
    <w:rsid w:val="006932E7"/>
    <w:rsid w:val="00693347"/>
    <w:rsid w:val="0069334C"/>
    <w:rsid w:val="00693739"/>
    <w:rsid w:val="00693DE7"/>
    <w:rsid w:val="006948EF"/>
    <w:rsid w:val="00694F1B"/>
    <w:rsid w:val="006955DF"/>
    <w:rsid w:val="00696D63"/>
    <w:rsid w:val="006A032F"/>
    <w:rsid w:val="006A0A36"/>
    <w:rsid w:val="006A0DD3"/>
    <w:rsid w:val="006A1135"/>
    <w:rsid w:val="006A146E"/>
    <w:rsid w:val="006A1967"/>
    <w:rsid w:val="006A1BEB"/>
    <w:rsid w:val="006A1ECF"/>
    <w:rsid w:val="006A3022"/>
    <w:rsid w:val="006A3052"/>
    <w:rsid w:val="006A37E6"/>
    <w:rsid w:val="006A41AE"/>
    <w:rsid w:val="006A4856"/>
    <w:rsid w:val="006A5474"/>
    <w:rsid w:val="006A564B"/>
    <w:rsid w:val="006A5D15"/>
    <w:rsid w:val="006B02AF"/>
    <w:rsid w:val="006B02E8"/>
    <w:rsid w:val="006B05B5"/>
    <w:rsid w:val="006B1545"/>
    <w:rsid w:val="006B23B9"/>
    <w:rsid w:val="006B2A07"/>
    <w:rsid w:val="006B2B11"/>
    <w:rsid w:val="006B2DA7"/>
    <w:rsid w:val="006B2F4D"/>
    <w:rsid w:val="006B306B"/>
    <w:rsid w:val="006B3682"/>
    <w:rsid w:val="006B3974"/>
    <w:rsid w:val="006B402E"/>
    <w:rsid w:val="006B48CB"/>
    <w:rsid w:val="006B5616"/>
    <w:rsid w:val="006B564D"/>
    <w:rsid w:val="006B65A8"/>
    <w:rsid w:val="006B705A"/>
    <w:rsid w:val="006C0037"/>
    <w:rsid w:val="006C1445"/>
    <w:rsid w:val="006C1DED"/>
    <w:rsid w:val="006C28FC"/>
    <w:rsid w:val="006C31C6"/>
    <w:rsid w:val="006C33FF"/>
    <w:rsid w:val="006C394E"/>
    <w:rsid w:val="006C3AB0"/>
    <w:rsid w:val="006C4FC1"/>
    <w:rsid w:val="006C51A5"/>
    <w:rsid w:val="006C529D"/>
    <w:rsid w:val="006C6642"/>
    <w:rsid w:val="006C6798"/>
    <w:rsid w:val="006C6DF7"/>
    <w:rsid w:val="006C79E4"/>
    <w:rsid w:val="006D019C"/>
    <w:rsid w:val="006D0630"/>
    <w:rsid w:val="006D0826"/>
    <w:rsid w:val="006D0C12"/>
    <w:rsid w:val="006D0E6B"/>
    <w:rsid w:val="006D1A4E"/>
    <w:rsid w:val="006D2146"/>
    <w:rsid w:val="006D3141"/>
    <w:rsid w:val="006D4CBA"/>
    <w:rsid w:val="006D5DEC"/>
    <w:rsid w:val="006D632E"/>
    <w:rsid w:val="006D6C9C"/>
    <w:rsid w:val="006D6E8F"/>
    <w:rsid w:val="006E094A"/>
    <w:rsid w:val="006E0F92"/>
    <w:rsid w:val="006E12B1"/>
    <w:rsid w:val="006E13D1"/>
    <w:rsid w:val="006E2204"/>
    <w:rsid w:val="006E26AB"/>
    <w:rsid w:val="006E26DE"/>
    <w:rsid w:val="006E4D0C"/>
    <w:rsid w:val="006E4D1B"/>
    <w:rsid w:val="006E5534"/>
    <w:rsid w:val="006E5B18"/>
    <w:rsid w:val="006E5B78"/>
    <w:rsid w:val="006E67BA"/>
    <w:rsid w:val="006E699D"/>
    <w:rsid w:val="006E6BA3"/>
    <w:rsid w:val="006E7478"/>
    <w:rsid w:val="006E7FC9"/>
    <w:rsid w:val="006F1116"/>
    <w:rsid w:val="006F2654"/>
    <w:rsid w:val="006F3024"/>
    <w:rsid w:val="006F3196"/>
    <w:rsid w:val="006F38CE"/>
    <w:rsid w:val="006F3C54"/>
    <w:rsid w:val="006F418C"/>
    <w:rsid w:val="006F572E"/>
    <w:rsid w:val="006F5E64"/>
    <w:rsid w:val="006F60DE"/>
    <w:rsid w:val="006F65FB"/>
    <w:rsid w:val="006F7914"/>
    <w:rsid w:val="006F7BE1"/>
    <w:rsid w:val="006F7C0B"/>
    <w:rsid w:val="006F7E46"/>
    <w:rsid w:val="00700AB4"/>
    <w:rsid w:val="00700FCA"/>
    <w:rsid w:val="007015C6"/>
    <w:rsid w:val="00701645"/>
    <w:rsid w:val="00701BBC"/>
    <w:rsid w:val="00702704"/>
    <w:rsid w:val="00702D5A"/>
    <w:rsid w:val="00702EF7"/>
    <w:rsid w:val="00703571"/>
    <w:rsid w:val="00703989"/>
    <w:rsid w:val="007042E9"/>
    <w:rsid w:val="00704495"/>
    <w:rsid w:val="00707AF4"/>
    <w:rsid w:val="007108D3"/>
    <w:rsid w:val="00711056"/>
    <w:rsid w:val="0071118B"/>
    <w:rsid w:val="00711316"/>
    <w:rsid w:val="00711C66"/>
    <w:rsid w:val="00711C6D"/>
    <w:rsid w:val="00711E13"/>
    <w:rsid w:val="00712EDA"/>
    <w:rsid w:val="007136D0"/>
    <w:rsid w:val="007137A0"/>
    <w:rsid w:val="007155A9"/>
    <w:rsid w:val="007158E1"/>
    <w:rsid w:val="00716AA6"/>
    <w:rsid w:val="0071705B"/>
    <w:rsid w:val="00717A7A"/>
    <w:rsid w:val="00720505"/>
    <w:rsid w:val="00722331"/>
    <w:rsid w:val="0072247E"/>
    <w:rsid w:val="007236A3"/>
    <w:rsid w:val="007239B6"/>
    <w:rsid w:val="0072490A"/>
    <w:rsid w:val="00724B64"/>
    <w:rsid w:val="0072517D"/>
    <w:rsid w:val="00725780"/>
    <w:rsid w:val="007257A0"/>
    <w:rsid w:val="0072597F"/>
    <w:rsid w:val="00725FB1"/>
    <w:rsid w:val="00726878"/>
    <w:rsid w:val="0072741A"/>
    <w:rsid w:val="0073067D"/>
    <w:rsid w:val="00730EE2"/>
    <w:rsid w:val="00730F82"/>
    <w:rsid w:val="0073124A"/>
    <w:rsid w:val="00731A6A"/>
    <w:rsid w:val="00731B79"/>
    <w:rsid w:val="007320A2"/>
    <w:rsid w:val="007327CE"/>
    <w:rsid w:val="007329F4"/>
    <w:rsid w:val="00733893"/>
    <w:rsid w:val="00733BDC"/>
    <w:rsid w:val="00734A05"/>
    <w:rsid w:val="00734ECC"/>
    <w:rsid w:val="00735A10"/>
    <w:rsid w:val="00735C6F"/>
    <w:rsid w:val="00736635"/>
    <w:rsid w:val="00737114"/>
    <w:rsid w:val="00737A31"/>
    <w:rsid w:val="00737C18"/>
    <w:rsid w:val="00740267"/>
    <w:rsid w:val="00742295"/>
    <w:rsid w:val="00742A6A"/>
    <w:rsid w:val="00742B44"/>
    <w:rsid w:val="00742FF2"/>
    <w:rsid w:val="007451D9"/>
    <w:rsid w:val="0074656E"/>
    <w:rsid w:val="007472D5"/>
    <w:rsid w:val="007524BB"/>
    <w:rsid w:val="00752B03"/>
    <w:rsid w:val="00753454"/>
    <w:rsid w:val="00753BB5"/>
    <w:rsid w:val="007544F1"/>
    <w:rsid w:val="00755E4A"/>
    <w:rsid w:val="00756832"/>
    <w:rsid w:val="00757C54"/>
    <w:rsid w:val="00757F0B"/>
    <w:rsid w:val="0076160F"/>
    <w:rsid w:val="007626D0"/>
    <w:rsid w:val="00764537"/>
    <w:rsid w:val="007651CA"/>
    <w:rsid w:val="00766C3E"/>
    <w:rsid w:val="00767519"/>
    <w:rsid w:val="007704E1"/>
    <w:rsid w:val="00770E5C"/>
    <w:rsid w:val="0077169B"/>
    <w:rsid w:val="00772569"/>
    <w:rsid w:val="00772E8C"/>
    <w:rsid w:val="00772FDB"/>
    <w:rsid w:val="0077316B"/>
    <w:rsid w:val="007736D3"/>
    <w:rsid w:val="007749BF"/>
    <w:rsid w:val="0077500F"/>
    <w:rsid w:val="0077545C"/>
    <w:rsid w:val="0077548E"/>
    <w:rsid w:val="007757AB"/>
    <w:rsid w:val="00777315"/>
    <w:rsid w:val="0077757C"/>
    <w:rsid w:val="00777AB2"/>
    <w:rsid w:val="00780130"/>
    <w:rsid w:val="007802E4"/>
    <w:rsid w:val="00780919"/>
    <w:rsid w:val="00780A5F"/>
    <w:rsid w:val="00781589"/>
    <w:rsid w:val="007820D0"/>
    <w:rsid w:val="007826C8"/>
    <w:rsid w:val="00782903"/>
    <w:rsid w:val="00783DA9"/>
    <w:rsid w:val="00783FD8"/>
    <w:rsid w:val="00784190"/>
    <w:rsid w:val="0078457B"/>
    <w:rsid w:val="00784756"/>
    <w:rsid w:val="0078539D"/>
    <w:rsid w:val="007856C1"/>
    <w:rsid w:val="00785B0F"/>
    <w:rsid w:val="00785EFE"/>
    <w:rsid w:val="00787051"/>
    <w:rsid w:val="0079018D"/>
    <w:rsid w:val="007901DC"/>
    <w:rsid w:val="00790DA0"/>
    <w:rsid w:val="0079131E"/>
    <w:rsid w:val="00791538"/>
    <w:rsid w:val="00791A00"/>
    <w:rsid w:val="00791DDB"/>
    <w:rsid w:val="007926F8"/>
    <w:rsid w:val="00792CEE"/>
    <w:rsid w:val="007936A8"/>
    <w:rsid w:val="007948AB"/>
    <w:rsid w:val="00796070"/>
    <w:rsid w:val="007962B4"/>
    <w:rsid w:val="00796E6B"/>
    <w:rsid w:val="00796F15"/>
    <w:rsid w:val="007974EF"/>
    <w:rsid w:val="00797E22"/>
    <w:rsid w:val="00797EFF"/>
    <w:rsid w:val="007A07D3"/>
    <w:rsid w:val="007A1171"/>
    <w:rsid w:val="007A138F"/>
    <w:rsid w:val="007A1640"/>
    <w:rsid w:val="007A16AB"/>
    <w:rsid w:val="007A1AE4"/>
    <w:rsid w:val="007A2413"/>
    <w:rsid w:val="007A2DB2"/>
    <w:rsid w:val="007A3095"/>
    <w:rsid w:val="007A39DF"/>
    <w:rsid w:val="007A43ED"/>
    <w:rsid w:val="007A4BDD"/>
    <w:rsid w:val="007A6CFD"/>
    <w:rsid w:val="007A72EE"/>
    <w:rsid w:val="007B01ED"/>
    <w:rsid w:val="007B0397"/>
    <w:rsid w:val="007B0ADB"/>
    <w:rsid w:val="007B1FEE"/>
    <w:rsid w:val="007B26EE"/>
    <w:rsid w:val="007B3502"/>
    <w:rsid w:val="007B3E6D"/>
    <w:rsid w:val="007B44ED"/>
    <w:rsid w:val="007B491A"/>
    <w:rsid w:val="007B4AAE"/>
    <w:rsid w:val="007B5028"/>
    <w:rsid w:val="007B5370"/>
    <w:rsid w:val="007B61F5"/>
    <w:rsid w:val="007B63FA"/>
    <w:rsid w:val="007B7496"/>
    <w:rsid w:val="007B7F89"/>
    <w:rsid w:val="007C0011"/>
    <w:rsid w:val="007C0802"/>
    <w:rsid w:val="007C12BE"/>
    <w:rsid w:val="007C144A"/>
    <w:rsid w:val="007C15D5"/>
    <w:rsid w:val="007C2739"/>
    <w:rsid w:val="007C4B0F"/>
    <w:rsid w:val="007C4DAD"/>
    <w:rsid w:val="007C500F"/>
    <w:rsid w:val="007C5830"/>
    <w:rsid w:val="007C5933"/>
    <w:rsid w:val="007C599E"/>
    <w:rsid w:val="007C5DB8"/>
    <w:rsid w:val="007C5DCE"/>
    <w:rsid w:val="007C6CA2"/>
    <w:rsid w:val="007C7B41"/>
    <w:rsid w:val="007D05B2"/>
    <w:rsid w:val="007D05FA"/>
    <w:rsid w:val="007D0C44"/>
    <w:rsid w:val="007D1906"/>
    <w:rsid w:val="007D1972"/>
    <w:rsid w:val="007D1F33"/>
    <w:rsid w:val="007D275B"/>
    <w:rsid w:val="007D30B6"/>
    <w:rsid w:val="007D3307"/>
    <w:rsid w:val="007D44CE"/>
    <w:rsid w:val="007D4B66"/>
    <w:rsid w:val="007D54F8"/>
    <w:rsid w:val="007D5E27"/>
    <w:rsid w:val="007D6F64"/>
    <w:rsid w:val="007D7ECD"/>
    <w:rsid w:val="007E1043"/>
    <w:rsid w:val="007E170F"/>
    <w:rsid w:val="007E1782"/>
    <w:rsid w:val="007E21F9"/>
    <w:rsid w:val="007E25AB"/>
    <w:rsid w:val="007E2F41"/>
    <w:rsid w:val="007E37ED"/>
    <w:rsid w:val="007E3833"/>
    <w:rsid w:val="007E44FC"/>
    <w:rsid w:val="007E5366"/>
    <w:rsid w:val="007E5AC2"/>
    <w:rsid w:val="007E60B5"/>
    <w:rsid w:val="007E6402"/>
    <w:rsid w:val="007E661D"/>
    <w:rsid w:val="007E6D43"/>
    <w:rsid w:val="007E79C5"/>
    <w:rsid w:val="007E7C09"/>
    <w:rsid w:val="007F0542"/>
    <w:rsid w:val="007F0798"/>
    <w:rsid w:val="007F2845"/>
    <w:rsid w:val="007F2A69"/>
    <w:rsid w:val="007F2C87"/>
    <w:rsid w:val="007F38A2"/>
    <w:rsid w:val="007F43BC"/>
    <w:rsid w:val="007F4740"/>
    <w:rsid w:val="0080067C"/>
    <w:rsid w:val="008006C6"/>
    <w:rsid w:val="00800C52"/>
    <w:rsid w:val="00801041"/>
    <w:rsid w:val="0080153E"/>
    <w:rsid w:val="008017AD"/>
    <w:rsid w:val="008018C8"/>
    <w:rsid w:val="00801F87"/>
    <w:rsid w:val="0080263A"/>
    <w:rsid w:val="0080329D"/>
    <w:rsid w:val="008055A9"/>
    <w:rsid w:val="00805DE2"/>
    <w:rsid w:val="00805DF6"/>
    <w:rsid w:val="00807175"/>
    <w:rsid w:val="0080742D"/>
    <w:rsid w:val="00807B9A"/>
    <w:rsid w:val="008100AC"/>
    <w:rsid w:val="00810C05"/>
    <w:rsid w:val="0081151E"/>
    <w:rsid w:val="00811A5F"/>
    <w:rsid w:val="00811D53"/>
    <w:rsid w:val="00812498"/>
    <w:rsid w:val="008127E6"/>
    <w:rsid w:val="0081336E"/>
    <w:rsid w:val="00813928"/>
    <w:rsid w:val="00814EC2"/>
    <w:rsid w:val="008154EC"/>
    <w:rsid w:val="00815D2E"/>
    <w:rsid w:val="00820123"/>
    <w:rsid w:val="008203E5"/>
    <w:rsid w:val="00820DC7"/>
    <w:rsid w:val="00820FFB"/>
    <w:rsid w:val="00821698"/>
    <w:rsid w:val="008221FE"/>
    <w:rsid w:val="00822A05"/>
    <w:rsid w:val="00822BF5"/>
    <w:rsid w:val="00823382"/>
    <w:rsid w:val="00823E57"/>
    <w:rsid w:val="00824894"/>
    <w:rsid w:val="00824FFF"/>
    <w:rsid w:val="00825366"/>
    <w:rsid w:val="00825AED"/>
    <w:rsid w:val="00825E84"/>
    <w:rsid w:val="00826C7B"/>
    <w:rsid w:val="00826DD9"/>
    <w:rsid w:val="00826E01"/>
    <w:rsid w:val="008277A8"/>
    <w:rsid w:val="008278B6"/>
    <w:rsid w:val="008307ED"/>
    <w:rsid w:val="00830B3B"/>
    <w:rsid w:val="0083350F"/>
    <w:rsid w:val="0083397C"/>
    <w:rsid w:val="0083402C"/>
    <w:rsid w:val="00834358"/>
    <w:rsid w:val="008346BD"/>
    <w:rsid w:val="00834923"/>
    <w:rsid w:val="00834F2D"/>
    <w:rsid w:val="0083553B"/>
    <w:rsid w:val="00835794"/>
    <w:rsid w:val="008359EB"/>
    <w:rsid w:val="008361BB"/>
    <w:rsid w:val="00836B7A"/>
    <w:rsid w:val="008379AF"/>
    <w:rsid w:val="00837B90"/>
    <w:rsid w:val="00840121"/>
    <w:rsid w:val="008409AA"/>
    <w:rsid w:val="00840FB8"/>
    <w:rsid w:val="00842E0C"/>
    <w:rsid w:val="00843647"/>
    <w:rsid w:val="00843A7A"/>
    <w:rsid w:val="008447F5"/>
    <w:rsid w:val="00846183"/>
    <w:rsid w:val="00846292"/>
    <w:rsid w:val="00850662"/>
    <w:rsid w:val="008506E1"/>
    <w:rsid w:val="00850D96"/>
    <w:rsid w:val="008515EE"/>
    <w:rsid w:val="00851A8E"/>
    <w:rsid w:val="00851EC7"/>
    <w:rsid w:val="008520C4"/>
    <w:rsid w:val="008528D3"/>
    <w:rsid w:val="00854553"/>
    <w:rsid w:val="008550C0"/>
    <w:rsid w:val="008558D9"/>
    <w:rsid w:val="00855B86"/>
    <w:rsid w:val="00856D47"/>
    <w:rsid w:val="00856E15"/>
    <w:rsid w:val="0085763B"/>
    <w:rsid w:val="00857688"/>
    <w:rsid w:val="00860745"/>
    <w:rsid w:val="00860874"/>
    <w:rsid w:val="008609A3"/>
    <w:rsid w:val="00861F12"/>
    <w:rsid w:val="00862008"/>
    <w:rsid w:val="008621A1"/>
    <w:rsid w:val="008625A2"/>
    <w:rsid w:val="00862720"/>
    <w:rsid w:val="008628C8"/>
    <w:rsid w:val="00862ADA"/>
    <w:rsid w:val="00862B2A"/>
    <w:rsid w:val="008630B9"/>
    <w:rsid w:val="00863B8F"/>
    <w:rsid w:val="00863F37"/>
    <w:rsid w:val="0086406B"/>
    <w:rsid w:val="008649B5"/>
    <w:rsid w:val="00864C8C"/>
    <w:rsid w:val="008659FB"/>
    <w:rsid w:val="00865C81"/>
    <w:rsid w:val="0086709D"/>
    <w:rsid w:val="00867651"/>
    <w:rsid w:val="00867B5A"/>
    <w:rsid w:val="00870147"/>
    <w:rsid w:val="00872089"/>
    <w:rsid w:val="00872959"/>
    <w:rsid w:val="00872C00"/>
    <w:rsid w:val="00874009"/>
    <w:rsid w:val="00874158"/>
    <w:rsid w:val="008743F3"/>
    <w:rsid w:val="00874418"/>
    <w:rsid w:val="0087444A"/>
    <w:rsid w:val="008746F1"/>
    <w:rsid w:val="0087478C"/>
    <w:rsid w:val="00875139"/>
    <w:rsid w:val="00875410"/>
    <w:rsid w:val="00875F96"/>
    <w:rsid w:val="00876545"/>
    <w:rsid w:val="00876E78"/>
    <w:rsid w:val="00880EDF"/>
    <w:rsid w:val="008811FD"/>
    <w:rsid w:val="0088137C"/>
    <w:rsid w:val="008819B6"/>
    <w:rsid w:val="0088208D"/>
    <w:rsid w:val="0088212C"/>
    <w:rsid w:val="00882DE6"/>
    <w:rsid w:val="00883A20"/>
    <w:rsid w:val="00883D4D"/>
    <w:rsid w:val="00884007"/>
    <w:rsid w:val="00884B59"/>
    <w:rsid w:val="008850BA"/>
    <w:rsid w:val="00885580"/>
    <w:rsid w:val="00885876"/>
    <w:rsid w:val="00885D97"/>
    <w:rsid w:val="00886185"/>
    <w:rsid w:val="008861D9"/>
    <w:rsid w:val="0088638C"/>
    <w:rsid w:val="00886EDF"/>
    <w:rsid w:val="008908E5"/>
    <w:rsid w:val="00891216"/>
    <w:rsid w:val="00892A60"/>
    <w:rsid w:val="00894B58"/>
    <w:rsid w:val="00894FDC"/>
    <w:rsid w:val="008957D3"/>
    <w:rsid w:val="00896414"/>
    <w:rsid w:val="0089716F"/>
    <w:rsid w:val="00897C71"/>
    <w:rsid w:val="008A05EA"/>
    <w:rsid w:val="008A0F54"/>
    <w:rsid w:val="008A16F9"/>
    <w:rsid w:val="008A1D3E"/>
    <w:rsid w:val="008A3038"/>
    <w:rsid w:val="008A4B16"/>
    <w:rsid w:val="008A4D63"/>
    <w:rsid w:val="008A4E11"/>
    <w:rsid w:val="008A6D62"/>
    <w:rsid w:val="008A70F7"/>
    <w:rsid w:val="008A726F"/>
    <w:rsid w:val="008A7606"/>
    <w:rsid w:val="008B13E9"/>
    <w:rsid w:val="008B2257"/>
    <w:rsid w:val="008B2436"/>
    <w:rsid w:val="008B26D5"/>
    <w:rsid w:val="008B3B51"/>
    <w:rsid w:val="008B4057"/>
    <w:rsid w:val="008B4145"/>
    <w:rsid w:val="008B5071"/>
    <w:rsid w:val="008B5290"/>
    <w:rsid w:val="008B63B3"/>
    <w:rsid w:val="008B6A40"/>
    <w:rsid w:val="008B72EC"/>
    <w:rsid w:val="008B73FA"/>
    <w:rsid w:val="008C2CFD"/>
    <w:rsid w:val="008C3A93"/>
    <w:rsid w:val="008C3FDC"/>
    <w:rsid w:val="008C47AD"/>
    <w:rsid w:val="008C5376"/>
    <w:rsid w:val="008C603A"/>
    <w:rsid w:val="008C64EF"/>
    <w:rsid w:val="008C71C8"/>
    <w:rsid w:val="008D167D"/>
    <w:rsid w:val="008D1FF8"/>
    <w:rsid w:val="008D2B26"/>
    <w:rsid w:val="008D2E88"/>
    <w:rsid w:val="008D3116"/>
    <w:rsid w:val="008D492A"/>
    <w:rsid w:val="008D4B58"/>
    <w:rsid w:val="008D4B7F"/>
    <w:rsid w:val="008D4B8A"/>
    <w:rsid w:val="008D559D"/>
    <w:rsid w:val="008D6541"/>
    <w:rsid w:val="008D7D7B"/>
    <w:rsid w:val="008E0F52"/>
    <w:rsid w:val="008E1EBD"/>
    <w:rsid w:val="008E216C"/>
    <w:rsid w:val="008E2316"/>
    <w:rsid w:val="008E236C"/>
    <w:rsid w:val="008E3063"/>
    <w:rsid w:val="008E30C6"/>
    <w:rsid w:val="008E34BE"/>
    <w:rsid w:val="008E3AA8"/>
    <w:rsid w:val="008E3E57"/>
    <w:rsid w:val="008E42CE"/>
    <w:rsid w:val="008E42F4"/>
    <w:rsid w:val="008E4333"/>
    <w:rsid w:val="008E4A31"/>
    <w:rsid w:val="008E5657"/>
    <w:rsid w:val="008E5E51"/>
    <w:rsid w:val="008F00DB"/>
    <w:rsid w:val="008F03A0"/>
    <w:rsid w:val="008F0C49"/>
    <w:rsid w:val="008F1264"/>
    <w:rsid w:val="008F1D8C"/>
    <w:rsid w:val="008F2908"/>
    <w:rsid w:val="008F4679"/>
    <w:rsid w:val="008F47C6"/>
    <w:rsid w:val="008F6647"/>
    <w:rsid w:val="008F700E"/>
    <w:rsid w:val="008F72D1"/>
    <w:rsid w:val="00900343"/>
    <w:rsid w:val="009006A2"/>
    <w:rsid w:val="0090102B"/>
    <w:rsid w:val="00901448"/>
    <w:rsid w:val="009034F6"/>
    <w:rsid w:val="009036BC"/>
    <w:rsid w:val="00903D30"/>
    <w:rsid w:val="00904414"/>
    <w:rsid w:val="00905197"/>
    <w:rsid w:val="009052A7"/>
    <w:rsid w:val="00905C47"/>
    <w:rsid w:val="00906379"/>
    <w:rsid w:val="00906A8C"/>
    <w:rsid w:val="00907531"/>
    <w:rsid w:val="009101EA"/>
    <w:rsid w:val="009106FC"/>
    <w:rsid w:val="009108E5"/>
    <w:rsid w:val="00910BE4"/>
    <w:rsid w:val="009118BB"/>
    <w:rsid w:val="0091191F"/>
    <w:rsid w:val="00911E7D"/>
    <w:rsid w:val="009120A9"/>
    <w:rsid w:val="009134C3"/>
    <w:rsid w:val="009134DE"/>
    <w:rsid w:val="009147EE"/>
    <w:rsid w:val="00915578"/>
    <w:rsid w:val="009159AC"/>
    <w:rsid w:val="00915B81"/>
    <w:rsid w:val="00915C72"/>
    <w:rsid w:val="00915D6B"/>
    <w:rsid w:val="00915F34"/>
    <w:rsid w:val="009160DF"/>
    <w:rsid w:val="009162C7"/>
    <w:rsid w:val="00916EC2"/>
    <w:rsid w:val="009206DD"/>
    <w:rsid w:val="009213BD"/>
    <w:rsid w:val="00922148"/>
    <w:rsid w:val="009230A6"/>
    <w:rsid w:val="00924393"/>
    <w:rsid w:val="00924627"/>
    <w:rsid w:val="009250A8"/>
    <w:rsid w:val="00925BE6"/>
    <w:rsid w:val="00926697"/>
    <w:rsid w:val="009266D7"/>
    <w:rsid w:val="00926F61"/>
    <w:rsid w:val="00926FA9"/>
    <w:rsid w:val="00930D91"/>
    <w:rsid w:val="0093123D"/>
    <w:rsid w:val="00933040"/>
    <w:rsid w:val="009330E9"/>
    <w:rsid w:val="00933CB8"/>
    <w:rsid w:val="00934D97"/>
    <w:rsid w:val="00935715"/>
    <w:rsid w:val="00935D15"/>
    <w:rsid w:val="00936084"/>
    <w:rsid w:val="00936C11"/>
    <w:rsid w:val="009411FB"/>
    <w:rsid w:val="009414A9"/>
    <w:rsid w:val="00941B71"/>
    <w:rsid w:val="00941DF9"/>
    <w:rsid w:val="009421AD"/>
    <w:rsid w:val="0094221C"/>
    <w:rsid w:val="009430F9"/>
    <w:rsid w:val="0094409C"/>
    <w:rsid w:val="00944159"/>
    <w:rsid w:val="00944777"/>
    <w:rsid w:val="009449B2"/>
    <w:rsid w:val="00944A82"/>
    <w:rsid w:val="00944BA5"/>
    <w:rsid w:val="00945091"/>
    <w:rsid w:val="00945AC7"/>
    <w:rsid w:val="0094651B"/>
    <w:rsid w:val="00946C4D"/>
    <w:rsid w:val="00947E28"/>
    <w:rsid w:val="0095019A"/>
    <w:rsid w:val="009514B7"/>
    <w:rsid w:val="00952422"/>
    <w:rsid w:val="0095285B"/>
    <w:rsid w:val="00953FE9"/>
    <w:rsid w:val="00954417"/>
    <w:rsid w:val="0095481C"/>
    <w:rsid w:val="0095526F"/>
    <w:rsid w:val="009554E7"/>
    <w:rsid w:val="00955E4A"/>
    <w:rsid w:val="009567E6"/>
    <w:rsid w:val="00957076"/>
    <w:rsid w:val="00957132"/>
    <w:rsid w:val="009571F8"/>
    <w:rsid w:val="009576FD"/>
    <w:rsid w:val="009578EB"/>
    <w:rsid w:val="009578FF"/>
    <w:rsid w:val="00957ADA"/>
    <w:rsid w:val="00960443"/>
    <w:rsid w:val="00960446"/>
    <w:rsid w:val="009610ED"/>
    <w:rsid w:val="00961144"/>
    <w:rsid w:val="00961678"/>
    <w:rsid w:val="00961EE9"/>
    <w:rsid w:val="009633BB"/>
    <w:rsid w:val="00963891"/>
    <w:rsid w:val="00963A36"/>
    <w:rsid w:val="00964019"/>
    <w:rsid w:val="009643DA"/>
    <w:rsid w:val="0096485F"/>
    <w:rsid w:val="00965C40"/>
    <w:rsid w:val="00966D57"/>
    <w:rsid w:val="00967354"/>
    <w:rsid w:val="00971529"/>
    <w:rsid w:val="00971589"/>
    <w:rsid w:val="00971592"/>
    <w:rsid w:val="00971617"/>
    <w:rsid w:val="009717E1"/>
    <w:rsid w:val="009717F8"/>
    <w:rsid w:val="0097197B"/>
    <w:rsid w:val="00971DDF"/>
    <w:rsid w:val="0097225C"/>
    <w:rsid w:val="009731D6"/>
    <w:rsid w:val="009732DA"/>
    <w:rsid w:val="00973FC6"/>
    <w:rsid w:val="00974746"/>
    <w:rsid w:val="00975119"/>
    <w:rsid w:val="00975AD9"/>
    <w:rsid w:val="009763ED"/>
    <w:rsid w:val="00976AAA"/>
    <w:rsid w:val="00976F04"/>
    <w:rsid w:val="009777F4"/>
    <w:rsid w:val="00977AD8"/>
    <w:rsid w:val="00980775"/>
    <w:rsid w:val="00980A10"/>
    <w:rsid w:val="00981130"/>
    <w:rsid w:val="0098229C"/>
    <w:rsid w:val="009822BD"/>
    <w:rsid w:val="0098289D"/>
    <w:rsid w:val="009835E0"/>
    <w:rsid w:val="00983D08"/>
    <w:rsid w:val="00983D46"/>
    <w:rsid w:val="00983DCA"/>
    <w:rsid w:val="009844B8"/>
    <w:rsid w:val="00985EF7"/>
    <w:rsid w:val="00986093"/>
    <w:rsid w:val="00986146"/>
    <w:rsid w:val="00986A47"/>
    <w:rsid w:val="00986CF9"/>
    <w:rsid w:val="0098727B"/>
    <w:rsid w:val="00987416"/>
    <w:rsid w:val="00990154"/>
    <w:rsid w:val="00990C0E"/>
    <w:rsid w:val="00990D75"/>
    <w:rsid w:val="00991093"/>
    <w:rsid w:val="0099163B"/>
    <w:rsid w:val="0099219C"/>
    <w:rsid w:val="00992343"/>
    <w:rsid w:val="009924A1"/>
    <w:rsid w:val="0099307C"/>
    <w:rsid w:val="00993750"/>
    <w:rsid w:val="0099381C"/>
    <w:rsid w:val="0099383D"/>
    <w:rsid w:val="009938B1"/>
    <w:rsid w:val="00994B48"/>
    <w:rsid w:val="00995884"/>
    <w:rsid w:val="00996258"/>
    <w:rsid w:val="00996306"/>
    <w:rsid w:val="00996744"/>
    <w:rsid w:val="00997CF4"/>
    <w:rsid w:val="009A1169"/>
    <w:rsid w:val="009A164C"/>
    <w:rsid w:val="009A1AAC"/>
    <w:rsid w:val="009A2BB6"/>
    <w:rsid w:val="009A2CB8"/>
    <w:rsid w:val="009A3125"/>
    <w:rsid w:val="009A3789"/>
    <w:rsid w:val="009A4419"/>
    <w:rsid w:val="009A45A2"/>
    <w:rsid w:val="009A6919"/>
    <w:rsid w:val="009A6AC7"/>
    <w:rsid w:val="009B0173"/>
    <w:rsid w:val="009B0408"/>
    <w:rsid w:val="009B0491"/>
    <w:rsid w:val="009B0843"/>
    <w:rsid w:val="009B0DEE"/>
    <w:rsid w:val="009B1335"/>
    <w:rsid w:val="009B176D"/>
    <w:rsid w:val="009B1E47"/>
    <w:rsid w:val="009B2CED"/>
    <w:rsid w:val="009B3054"/>
    <w:rsid w:val="009B335D"/>
    <w:rsid w:val="009B3801"/>
    <w:rsid w:val="009B3C90"/>
    <w:rsid w:val="009B4EAC"/>
    <w:rsid w:val="009B68F1"/>
    <w:rsid w:val="009B76E3"/>
    <w:rsid w:val="009B76F9"/>
    <w:rsid w:val="009B7A72"/>
    <w:rsid w:val="009B7BB8"/>
    <w:rsid w:val="009B7D38"/>
    <w:rsid w:val="009C0E9B"/>
    <w:rsid w:val="009C126A"/>
    <w:rsid w:val="009C1D4C"/>
    <w:rsid w:val="009C2C4B"/>
    <w:rsid w:val="009C2DD2"/>
    <w:rsid w:val="009C3767"/>
    <w:rsid w:val="009C3982"/>
    <w:rsid w:val="009C441F"/>
    <w:rsid w:val="009C4A07"/>
    <w:rsid w:val="009C4B8E"/>
    <w:rsid w:val="009C51D5"/>
    <w:rsid w:val="009C543C"/>
    <w:rsid w:val="009C599A"/>
    <w:rsid w:val="009C5C3A"/>
    <w:rsid w:val="009C5CF1"/>
    <w:rsid w:val="009C5EFF"/>
    <w:rsid w:val="009C64FC"/>
    <w:rsid w:val="009C650E"/>
    <w:rsid w:val="009C652F"/>
    <w:rsid w:val="009C66C9"/>
    <w:rsid w:val="009C70DB"/>
    <w:rsid w:val="009C774A"/>
    <w:rsid w:val="009D0E9D"/>
    <w:rsid w:val="009D19BC"/>
    <w:rsid w:val="009D19D6"/>
    <w:rsid w:val="009D2348"/>
    <w:rsid w:val="009D255C"/>
    <w:rsid w:val="009D2EA8"/>
    <w:rsid w:val="009D2F0C"/>
    <w:rsid w:val="009D3306"/>
    <w:rsid w:val="009D3578"/>
    <w:rsid w:val="009D3A5F"/>
    <w:rsid w:val="009D4392"/>
    <w:rsid w:val="009D45BD"/>
    <w:rsid w:val="009D493C"/>
    <w:rsid w:val="009D4F88"/>
    <w:rsid w:val="009D5193"/>
    <w:rsid w:val="009D5C32"/>
    <w:rsid w:val="009D5C56"/>
    <w:rsid w:val="009D6472"/>
    <w:rsid w:val="009D79F4"/>
    <w:rsid w:val="009D7D19"/>
    <w:rsid w:val="009E126D"/>
    <w:rsid w:val="009E2592"/>
    <w:rsid w:val="009E33D7"/>
    <w:rsid w:val="009E3CD1"/>
    <w:rsid w:val="009E495D"/>
    <w:rsid w:val="009E5520"/>
    <w:rsid w:val="009E5AF5"/>
    <w:rsid w:val="009E5D4C"/>
    <w:rsid w:val="009E5EB5"/>
    <w:rsid w:val="009E6221"/>
    <w:rsid w:val="009E698C"/>
    <w:rsid w:val="009E74F0"/>
    <w:rsid w:val="009E7F23"/>
    <w:rsid w:val="009F0768"/>
    <w:rsid w:val="009F102A"/>
    <w:rsid w:val="009F11C0"/>
    <w:rsid w:val="009F151C"/>
    <w:rsid w:val="009F2A19"/>
    <w:rsid w:val="009F2D7B"/>
    <w:rsid w:val="009F514E"/>
    <w:rsid w:val="009F6BCE"/>
    <w:rsid w:val="009F7867"/>
    <w:rsid w:val="009F7D66"/>
    <w:rsid w:val="009F7F0B"/>
    <w:rsid w:val="00A00BD2"/>
    <w:rsid w:val="00A00E56"/>
    <w:rsid w:val="00A016DF"/>
    <w:rsid w:val="00A02651"/>
    <w:rsid w:val="00A027F3"/>
    <w:rsid w:val="00A02D50"/>
    <w:rsid w:val="00A03978"/>
    <w:rsid w:val="00A03AB1"/>
    <w:rsid w:val="00A043B8"/>
    <w:rsid w:val="00A04921"/>
    <w:rsid w:val="00A04D7E"/>
    <w:rsid w:val="00A051D9"/>
    <w:rsid w:val="00A05633"/>
    <w:rsid w:val="00A05DF3"/>
    <w:rsid w:val="00A0617E"/>
    <w:rsid w:val="00A0706F"/>
    <w:rsid w:val="00A079A3"/>
    <w:rsid w:val="00A07E08"/>
    <w:rsid w:val="00A07E99"/>
    <w:rsid w:val="00A10D79"/>
    <w:rsid w:val="00A11212"/>
    <w:rsid w:val="00A11535"/>
    <w:rsid w:val="00A11807"/>
    <w:rsid w:val="00A11E56"/>
    <w:rsid w:val="00A11FFC"/>
    <w:rsid w:val="00A12798"/>
    <w:rsid w:val="00A1329C"/>
    <w:rsid w:val="00A13A09"/>
    <w:rsid w:val="00A14B87"/>
    <w:rsid w:val="00A153BE"/>
    <w:rsid w:val="00A15DEE"/>
    <w:rsid w:val="00A16462"/>
    <w:rsid w:val="00A167B5"/>
    <w:rsid w:val="00A16932"/>
    <w:rsid w:val="00A16DBE"/>
    <w:rsid w:val="00A179E0"/>
    <w:rsid w:val="00A17C4F"/>
    <w:rsid w:val="00A20653"/>
    <w:rsid w:val="00A20A39"/>
    <w:rsid w:val="00A20D26"/>
    <w:rsid w:val="00A21B93"/>
    <w:rsid w:val="00A21D9C"/>
    <w:rsid w:val="00A22059"/>
    <w:rsid w:val="00A2300C"/>
    <w:rsid w:val="00A238BD"/>
    <w:rsid w:val="00A2391E"/>
    <w:rsid w:val="00A23DCA"/>
    <w:rsid w:val="00A240D8"/>
    <w:rsid w:val="00A242FC"/>
    <w:rsid w:val="00A243E4"/>
    <w:rsid w:val="00A2459D"/>
    <w:rsid w:val="00A24E23"/>
    <w:rsid w:val="00A250D5"/>
    <w:rsid w:val="00A2566C"/>
    <w:rsid w:val="00A25F05"/>
    <w:rsid w:val="00A26491"/>
    <w:rsid w:val="00A2731B"/>
    <w:rsid w:val="00A30528"/>
    <w:rsid w:val="00A309B3"/>
    <w:rsid w:val="00A30B2D"/>
    <w:rsid w:val="00A311AE"/>
    <w:rsid w:val="00A312A6"/>
    <w:rsid w:val="00A3130E"/>
    <w:rsid w:val="00A315B1"/>
    <w:rsid w:val="00A3193B"/>
    <w:rsid w:val="00A324CF"/>
    <w:rsid w:val="00A32E8B"/>
    <w:rsid w:val="00A32ED6"/>
    <w:rsid w:val="00A33518"/>
    <w:rsid w:val="00A33776"/>
    <w:rsid w:val="00A33C1A"/>
    <w:rsid w:val="00A33EE3"/>
    <w:rsid w:val="00A344A5"/>
    <w:rsid w:val="00A346C3"/>
    <w:rsid w:val="00A34D4A"/>
    <w:rsid w:val="00A35548"/>
    <w:rsid w:val="00A36155"/>
    <w:rsid w:val="00A3629E"/>
    <w:rsid w:val="00A365AD"/>
    <w:rsid w:val="00A4015F"/>
    <w:rsid w:val="00A4027D"/>
    <w:rsid w:val="00A40FB7"/>
    <w:rsid w:val="00A422FD"/>
    <w:rsid w:val="00A42A85"/>
    <w:rsid w:val="00A42D07"/>
    <w:rsid w:val="00A431FD"/>
    <w:rsid w:val="00A44B43"/>
    <w:rsid w:val="00A4503E"/>
    <w:rsid w:val="00A450C0"/>
    <w:rsid w:val="00A45468"/>
    <w:rsid w:val="00A45F16"/>
    <w:rsid w:val="00A471A8"/>
    <w:rsid w:val="00A4791B"/>
    <w:rsid w:val="00A505F7"/>
    <w:rsid w:val="00A50A48"/>
    <w:rsid w:val="00A5103E"/>
    <w:rsid w:val="00A51180"/>
    <w:rsid w:val="00A51242"/>
    <w:rsid w:val="00A51522"/>
    <w:rsid w:val="00A51573"/>
    <w:rsid w:val="00A51A5E"/>
    <w:rsid w:val="00A52895"/>
    <w:rsid w:val="00A52D7D"/>
    <w:rsid w:val="00A539A5"/>
    <w:rsid w:val="00A53DA0"/>
    <w:rsid w:val="00A5404D"/>
    <w:rsid w:val="00A54F99"/>
    <w:rsid w:val="00A555A7"/>
    <w:rsid w:val="00A56725"/>
    <w:rsid w:val="00A5765D"/>
    <w:rsid w:val="00A579BD"/>
    <w:rsid w:val="00A607CB"/>
    <w:rsid w:val="00A61306"/>
    <w:rsid w:val="00A61803"/>
    <w:rsid w:val="00A6351F"/>
    <w:rsid w:val="00A63809"/>
    <w:rsid w:val="00A63F04"/>
    <w:rsid w:val="00A6411C"/>
    <w:rsid w:val="00A64278"/>
    <w:rsid w:val="00A64434"/>
    <w:rsid w:val="00A64A6E"/>
    <w:rsid w:val="00A6519F"/>
    <w:rsid w:val="00A65931"/>
    <w:rsid w:val="00A65A70"/>
    <w:rsid w:val="00A65E0B"/>
    <w:rsid w:val="00A6665F"/>
    <w:rsid w:val="00A66F00"/>
    <w:rsid w:val="00A66F36"/>
    <w:rsid w:val="00A676D9"/>
    <w:rsid w:val="00A67EFC"/>
    <w:rsid w:val="00A7031E"/>
    <w:rsid w:val="00A7051B"/>
    <w:rsid w:val="00A707A5"/>
    <w:rsid w:val="00A71140"/>
    <w:rsid w:val="00A7157D"/>
    <w:rsid w:val="00A7205E"/>
    <w:rsid w:val="00A72ACC"/>
    <w:rsid w:val="00A73922"/>
    <w:rsid w:val="00A73D24"/>
    <w:rsid w:val="00A74692"/>
    <w:rsid w:val="00A759B8"/>
    <w:rsid w:val="00A75A52"/>
    <w:rsid w:val="00A7618B"/>
    <w:rsid w:val="00A7640B"/>
    <w:rsid w:val="00A76B43"/>
    <w:rsid w:val="00A773A8"/>
    <w:rsid w:val="00A7778B"/>
    <w:rsid w:val="00A77A67"/>
    <w:rsid w:val="00A803BC"/>
    <w:rsid w:val="00A80969"/>
    <w:rsid w:val="00A80C7C"/>
    <w:rsid w:val="00A81547"/>
    <w:rsid w:val="00A85798"/>
    <w:rsid w:val="00A85C6A"/>
    <w:rsid w:val="00A8609D"/>
    <w:rsid w:val="00A86304"/>
    <w:rsid w:val="00A86EA7"/>
    <w:rsid w:val="00A87B04"/>
    <w:rsid w:val="00A91244"/>
    <w:rsid w:val="00A91774"/>
    <w:rsid w:val="00A91C7F"/>
    <w:rsid w:val="00A92066"/>
    <w:rsid w:val="00A92179"/>
    <w:rsid w:val="00A92776"/>
    <w:rsid w:val="00A93145"/>
    <w:rsid w:val="00A93181"/>
    <w:rsid w:val="00A938E6"/>
    <w:rsid w:val="00A93CCF"/>
    <w:rsid w:val="00A94E4E"/>
    <w:rsid w:val="00A95514"/>
    <w:rsid w:val="00A95BD5"/>
    <w:rsid w:val="00A95C53"/>
    <w:rsid w:val="00A95F65"/>
    <w:rsid w:val="00A96097"/>
    <w:rsid w:val="00A96F78"/>
    <w:rsid w:val="00A96FBE"/>
    <w:rsid w:val="00A97274"/>
    <w:rsid w:val="00A979E1"/>
    <w:rsid w:val="00AA04E6"/>
    <w:rsid w:val="00AA0B9E"/>
    <w:rsid w:val="00AA1087"/>
    <w:rsid w:val="00AA161A"/>
    <w:rsid w:val="00AA22E4"/>
    <w:rsid w:val="00AA247C"/>
    <w:rsid w:val="00AA25A9"/>
    <w:rsid w:val="00AA26D9"/>
    <w:rsid w:val="00AA278A"/>
    <w:rsid w:val="00AA2822"/>
    <w:rsid w:val="00AA3183"/>
    <w:rsid w:val="00AA3BBC"/>
    <w:rsid w:val="00AA4605"/>
    <w:rsid w:val="00AA5082"/>
    <w:rsid w:val="00AA51AD"/>
    <w:rsid w:val="00AA591E"/>
    <w:rsid w:val="00AA5D66"/>
    <w:rsid w:val="00AA5DF4"/>
    <w:rsid w:val="00AA65C9"/>
    <w:rsid w:val="00AA66CB"/>
    <w:rsid w:val="00AA7867"/>
    <w:rsid w:val="00AB0A32"/>
    <w:rsid w:val="00AB0B90"/>
    <w:rsid w:val="00AB0E56"/>
    <w:rsid w:val="00AB0ED5"/>
    <w:rsid w:val="00AB18AC"/>
    <w:rsid w:val="00AB1EB7"/>
    <w:rsid w:val="00AB3A15"/>
    <w:rsid w:val="00AB3EF2"/>
    <w:rsid w:val="00AB4DED"/>
    <w:rsid w:val="00AB4ECC"/>
    <w:rsid w:val="00AB4F0F"/>
    <w:rsid w:val="00AB5127"/>
    <w:rsid w:val="00AB53E3"/>
    <w:rsid w:val="00AB60E2"/>
    <w:rsid w:val="00AB6601"/>
    <w:rsid w:val="00AB674E"/>
    <w:rsid w:val="00AB6D79"/>
    <w:rsid w:val="00AB709E"/>
    <w:rsid w:val="00AB7806"/>
    <w:rsid w:val="00AB7843"/>
    <w:rsid w:val="00AC02C1"/>
    <w:rsid w:val="00AC0AB6"/>
    <w:rsid w:val="00AC10AD"/>
    <w:rsid w:val="00AC17CD"/>
    <w:rsid w:val="00AC1E55"/>
    <w:rsid w:val="00AC3D06"/>
    <w:rsid w:val="00AC429F"/>
    <w:rsid w:val="00AC4402"/>
    <w:rsid w:val="00AC60B4"/>
    <w:rsid w:val="00AC61A4"/>
    <w:rsid w:val="00AC67B6"/>
    <w:rsid w:val="00AC7905"/>
    <w:rsid w:val="00AC7B2F"/>
    <w:rsid w:val="00AC7D98"/>
    <w:rsid w:val="00AD00C5"/>
    <w:rsid w:val="00AD165F"/>
    <w:rsid w:val="00AD24CB"/>
    <w:rsid w:val="00AD2794"/>
    <w:rsid w:val="00AD2DC5"/>
    <w:rsid w:val="00AD30B7"/>
    <w:rsid w:val="00AD3455"/>
    <w:rsid w:val="00AD3CAD"/>
    <w:rsid w:val="00AD432E"/>
    <w:rsid w:val="00AD4E00"/>
    <w:rsid w:val="00AD5A99"/>
    <w:rsid w:val="00AD69FF"/>
    <w:rsid w:val="00AD702B"/>
    <w:rsid w:val="00AD72E6"/>
    <w:rsid w:val="00AD7C95"/>
    <w:rsid w:val="00AD7FCD"/>
    <w:rsid w:val="00AD86E7"/>
    <w:rsid w:val="00AE0C78"/>
    <w:rsid w:val="00AE2912"/>
    <w:rsid w:val="00AE2AB0"/>
    <w:rsid w:val="00AE2BED"/>
    <w:rsid w:val="00AE3DE1"/>
    <w:rsid w:val="00AE5439"/>
    <w:rsid w:val="00AE60E8"/>
    <w:rsid w:val="00AE61B2"/>
    <w:rsid w:val="00AE78D1"/>
    <w:rsid w:val="00AE7EF0"/>
    <w:rsid w:val="00AE7F89"/>
    <w:rsid w:val="00AE7FFC"/>
    <w:rsid w:val="00AF06BF"/>
    <w:rsid w:val="00AF0E5F"/>
    <w:rsid w:val="00AF16A6"/>
    <w:rsid w:val="00AF16F2"/>
    <w:rsid w:val="00AF2D54"/>
    <w:rsid w:val="00AF3458"/>
    <w:rsid w:val="00AF3F7B"/>
    <w:rsid w:val="00AF42B4"/>
    <w:rsid w:val="00AF4B8A"/>
    <w:rsid w:val="00AF4F1B"/>
    <w:rsid w:val="00AF5EC6"/>
    <w:rsid w:val="00AF6874"/>
    <w:rsid w:val="00AF6C38"/>
    <w:rsid w:val="00AF6E8A"/>
    <w:rsid w:val="00AF7213"/>
    <w:rsid w:val="00AF7771"/>
    <w:rsid w:val="00AF7D92"/>
    <w:rsid w:val="00B0078E"/>
    <w:rsid w:val="00B011CC"/>
    <w:rsid w:val="00B01C87"/>
    <w:rsid w:val="00B04004"/>
    <w:rsid w:val="00B04048"/>
    <w:rsid w:val="00B042DA"/>
    <w:rsid w:val="00B04F3D"/>
    <w:rsid w:val="00B05702"/>
    <w:rsid w:val="00B0627C"/>
    <w:rsid w:val="00B06DD9"/>
    <w:rsid w:val="00B07293"/>
    <w:rsid w:val="00B07CD6"/>
    <w:rsid w:val="00B07E52"/>
    <w:rsid w:val="00B10010"/>
    <w:rsid w:val="00B11687"/>
    <w:rsid w:val="00B11775"/>
    <w:rsid w:val="00B12788"/>
    <w:rsid w:val="00B12F75"/>
    <w:rsid w:val="00B1302D"/>
    <w:rsid w:val="00B1513F"/>
    <w:rsid w:val="00B15B89"/>
    <w:rsid w:val="00B169B6"/>
    <w:rsid w:val="00B1746F"/>
    <w:rsid w:val="00B20725"/>
    <w:rsid w:val="00B2087E"/>
    <w:rsid w:val="00B20B11"/>
    <w:rsid w:val="00B20B94"/>
    <w:rsid w:val="00B2110D"/>
    <w:rsid w:val="00B23DC5"/>
    <w:rsid w:val="00B24276"/>
    <w:rsid w:val="00B248D0"/>
    <w:rsid w:val="00B25B9E"/>
    <w:rsid w:val="00B25DD1"/>
    <w:rsid w:val="00B2628E"/>
    <w:rsid w:val="00B2633B"/>
    <w:rsid w:val="00B26610"/>
    <w:rsid w:val="00B266B0"/>
    <w:rsid w:val="00B26BAA"/>
    <w:rsid w:val="00B26D0A"/>
    <w:rsid w:val="00B27921"/>
    <w:rsid w:val="00B27AF1"/>
    <w:rsid w:val="00B3000E"/>
    <w:rsid w:val="00B326A8"/>
    <w:rsid w:val="00B3291A"/>
    <w:rsid w:val="00B329EB"/>
    <w:rsid w:val="00B32FCD"/>
    <w:rsid w:val="00B33508"/>
    <w:rsid w:val="00B33716"/>
    <w:rsid w:val="00B3377E"/>
    <w:rsid w:val="00B33BEE"/>
    <w:rsid w:val="00B341F4"/>
    <w:rsid w:val="00B34E63"/>
    <w:rsid w:val="00B35497"/>
    <w:rsid w:val="00B35DA4"/>
    <w:rsid w:val="00B36F27"/>
    <w:rsid w:val="00B40197"/>
    <w:rsid w:val="00B40A96"/>
    <w:rsid w:val="00B4184B"/>
    <w:rsid w:val="00B422A7"/>
    <w:rsid w:val="00B42376"/>
    <w:rsid w:val="00B42A32"/>
    <w:rsid w:val="00B42FA6"/>
    <w:rsid w:val="00B4399E"/>
    <w:rsid w:val="00B43A16"/>
    <w:rsid w:val="00B43DFE"/>
    <w:rsid w:val="00B45CE1"/>
    <w:rsid w:val="00B46A75"/>
    <w:rsid w:val="00B470A7"/>
    <w:rsid w:val="00B476AF"/>
    <w:rsid w:val="00B500CD"/>
    <w:rsid w:val="00B5030F"/>
    <w:rsid w:val="00B5109D"/>
    <w:rsid w:val="00B5239C"/>
    <w:rsid w:val="00B53259"/>
    <w:rsid w:val="00B53893"/>
    <w:rsid w:val="00B53DB2"/>
    <w:rsid w:val="00B548C2"/>
    <w:rsid w:val="00B54B6A"/>
    <w:rsid w:val="00B55428"/>
    <w:rsid w:val="00B561C3"/>
    <w:rsid w:val="00B56E51"/>
    <w:rsid w:val="00B570BF"/>
    <w:rsid w:val="00B5789A"/>
    <w:rsid w:val="00B60471"/>
    <w:rsid w:val="00B60B8F"/>
    <w:rsid w:val="00B625CC"/>
    <w:rsid w:val="00B62A7F"/>
    <w:rsid w:val="00B63337"/>
    <w:rsid w:val="00B6369F"/>
    <w:rsid w:val="00B639D7"/>
    <w:rsid w:val="00B648A4"/>
    <w:rsid w:val="00B64AA7"/>
    <w:rsid w:val="00B64CC1"/>
    <w:rsid w:val="00B65452"/>
    <w:rsid w:val="00B664BF"/>
    <w:rsid w:val="00B66594"/>
    <w:rsid w:val="00B66F21"/>
    <w:rsid w:val="00B67805"/>
    <w:rsid w:val="00B70106"/>
    <w:rsid w:val="00B701FE"/>
    <w:rsid w:val="00B70EE9"/>
    <w:rsid w:val="00B70F63"/>
    <w:rsid w:val="00B71BAC"/>
    <w:rsid w:val="00B721CD"/>
    <w:rsid w:val="00B7267A"/>
    <w:rsid w:val="00B726FF"/>
    <w:rsid w:val="00B7284D"/>
    <w:rsid w:val="00B72A5B"/>
    <w:rsid w:val="00B72AA4"/>
    <w:rsid w:val="00B72B16"/>
    <w:rsid w:val="00B73073"/>
    <w:rsid w:val="00B75454"/>
    <w:rsid w:val="00B76BCD"/>
    <w:rsid w:val="00B76EE9"/>
    <w:rsid w:val="00B77231"/>
    <w:rsid w:val="00B77611"/>
    <w:rsid w:val="00B77880"/>
    <w:rsid w:val="00B779C7"/>
    <w:rsid w:val="00B77B84"/>
    <w:rsid w:val="00B77CAB"/>
    <w:rsid w:val="00B80D90"/>
    <w:rsid w:val="00B80F3C"/>
    <w:rsid w:val="00B81FDC"/>
    <w:rsid w:val="00B82613"/>
    <w:rsid w:val="00B828B5"/>
    <w:rsid w:val="00B82ED8"/>
    <w:rsid w:val="00B82F2F"/>
    <w:rsid w:val="00B83E1B"/>
    <w:rsid w:val="00B845D0"/>
    <w:rsid w:val="00B84A80"/>
    <w:rsid w:val="00B84E9C"/>
    <w:rsid w:val="00B853C4"/>
    <w:rsid w:val="00B85522"/>
    <w:rsid w:val="00B862E0"/>
    <w:rsid w:val="00B877DD"/>
    <w:rsid w:val="00B87CC3"/>
    <w:rsid w:val="00B90E2A"/>
    <w:rsid w:val="00B90F2A"/>
    <w:rsid w:val="00B9198D"/>
    <w:rsid w:val="00B91AEF"/>
    <w:rsid w:val="00B92D25"/>
    <w:rsid w:val="00B93008"/>
    <w:rsid w:val="00B9406D"/>
    <w:rsid w:val="00B944D9"/>
    <w:rsid w:val="00B94BA7"/>
    <w:rsid w:val="00B94E0E"/>
    <w:rsid w:val="00B958AE"/>
    <w:rsid w:val="00B96413"/>
    <w:rsid w:val="00B96B80"/>
    <w:rsid w:val="00B97CA3"/>
    <w:rsid w:val="00BA1104"/>
    <w:rsid w:val="00BA1872"/>
    <w:rsid w:val="00BA1913"/>
    <w:rsid w:val="00BA2BC9"/>
    <w:rsid w:val="00BA4641"/>
    <w:rsid w:val="00BA4A54"/>
    <w:rsid w:val="00BA4C3A"/>
    <w:rsid w:val="00BA4DF6"/>
    <w:rsid w:val="00BA5429"/>
    <w:rsid w:val="00BA5BDE"/>
    <w:rsid w:val="00BA6283"/>
    <w:rsid w:val="00BA6BAF"/>
    <w:rsid w:val="00BA6CE2"/>
    <w:rsid w:val="00BA6ED1"/>
    <w:rsid w:val="00BA7205"/>
    <w:rsid w:val="00BA76A9"/>
    <w:rsid w:val="00BA7E48"/>
    <w:rsid w:val="00BB0094"/>
    <w:rsid w:val="00BB0595"/>
    <w:rsid w:val="00BB153F"/>
    <w:rsid w:val="00BB213A"/>
    <w:rsid w:val="00BB2F36"/>
    <w:rsid w:val="00BB3097"/>
    <w:rsid w:val="00BB38F5"/>
    <w:rsid w:val="00BB3E2B"/>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257"/>
    <w:rsid w:val="00BC32E7"/>
    <w:rsid w:val="00BC4D35"/>
    <w:rsid w:val="00BC4F81"/>
    <w:rsid w:val="00BC5670"/>
    <w:rsid w:val="00BC58B9"/>
    <w:rsid w:val="00BC6858"/>
    <w:rsid w:val="00BC6E00"/>
    <w:rsid w:val="00BD0EBC"/>
    <w:rsid w:val="00BD2F13"/>
    <w:rsid w:val="00BD3056"/>
    <w:rsid w:val="00BD3846"/>
    <w:rsid w:val="00BD3E68"/>
    <w:rsid w:val="00BD4E05"/>
    <w:rsid w:val="00BD4EEA"/>
    <w:rsid w:val="00BD5200"/>
    <w:rsid w:val="00BD598A"/>
    <w:rsid w:val="00BD5C7A"/>
    <w:rsid w:val="00BD723F"/>
    <w:rsid w:val="00BD75B4"/>
    <w:rsid w:val="00BD7D14"/>
    <w:rsid w:val="00BE02B4"/>
    <w:rsid w:val="00BE2036"/>
    <w:rsid w:val="00BE28C1"/>
    <w:rsid w:val="00BE3492"/>
    <w:rsid w:val="00BE3B62"/>
    <w:rsid w:val="00BE48BF"/>
    <w:rsid w:val="00BE4EC9"/>
    <w:rsid w:val="00BE50AE"/>
    <w:rsid w:val="00BE51A5"/>
    <w:rsid w:val="00BE631E"/>
    <w:rsid w:val="00BE6BEC"/>
    <w:rsid w:val="00BF01F8"/>
    <w:rsid w:val="00BF0CCF"/>
    <w:rsid w:val="00BF0FC5"/>
    <w:rsid w:val="00BF10BC"/>
    <w:rsid w:val="00BF21AC"/>
    <w:rsid w:val="00BF2E53"/>
    <w:rsid w:val="00BF352A"/>
    <w:rsid w:val="00BF3669"/>
    <w:rsid w:val="00BF3C0D"/>
    <w:rsid w:val="00BF4BC7"/>
    <w:rsid w:val="00BF5038"/>
    <w:rsid w:val="00BF6252"/>
    <w:rsid w:val="00BF711C"/>
    <w:rsid w:val="00BF748E"/>
    <w:rsid w:val="00BF789B"/>
    <w:rsid w:val="00BF7C3C"/>
    <w:rsid w:val="00C00B6C"/>
    <w:rsid w:val="00C0219C"/>
    <w:rsid w:val="00C03309"/>
    <w:rsid w:val="00C037E0"/>
    <w:rsid w:val="00C03E8A"/>
    <w:rsid w:val="00C04112"/>
    <w:rsid w:val="00C04E8D"/>
    <w:rsid w:val="00C052E5"/>
    <w:rsid w:val="00C05A3E"/>
    <w:rsid w:val="00C05E5E"/>
    <w:rsid w:val="00C065E2"/>
    <w:rsid w:val="00C072FE"/>
    <w:rsid w:val="00C11659"/>
    <w:rsid w:val="00C11ADE"/>
    <w:rsid w:val="00C11ADF"/>
    <w:rsid w:val="00C126E0"/>
    <w:rsid w:val="00C128BC"/>
    <w:rsid w:val="00C12C2B"/>
    <w:rsid w:val="00C12E39"/>
    <w:rsid w:val="00C13D47"/>
    <w:rsid w:val="00C14164"/>
    <w:rsid w:val="00C14C53"/>
    <w:rsid w:val="00C15D8E"/>
    <w:rsid w:val="00C17012"/>
    <w:rsid w:val="00C1752F"/>
    <w:rsid w:val="00C1788A"/>
    <w:rsid w:val="00C178FB"/>
    <w:rsid w:val="00C17DF9"/>
    <w:rsid w:val="00C201EB"/>
    <w:rsid w:val="00C20ACC"/>
    <w:rsid w:val="00C20FB2"/>
    <w:rsid w:val="00C22B28"/>
    <w:rsid w:val="00C22FD2"/>
    <w:rsid w:val="00C257B7"/>
    <w:rsid w:val="00C25B5B"/>
    <w:rsid w:val="00C2720D"/>
    <w:rsid w:val="00C272E8"/>
    <w:rsid w:val="00C27AC7"/>
    <w:rsid w:val="00C27B98"/>
    <w:rsid w:val="00C301A9"/>
    <w:rsid w:val="00C30ABC"/>
    <w:rsid w:val="00C30B60"/>
    <w:rsid w:val="00C31FAA"/>
    <w:rsid w:val="00C33359"/>
    <w:rsid w:val="00C333FD"/>
    <w:rsid w:val="00C33556"/>
    <w:rsid w:val="00C33974"/>
    <w:rsid w:val="00C348D6"/>
    <w:rsid w:val="00C3504C"/>
    <w:rsid w:val="00C365E7"/>
    <w:rsid w:val="00C36E34"/>
    <w:rsid w:val="00C37EBD"/>
    <w:rsid w:val="00C40388"/>
    <w:rsid w:val="00C404D7"/>
    <w:rsid w:val="00C404EE"/>
    <w:rsid w:val="00C4171B"/>
    <w:rsid w:val="00C42689"/>
    <w:rsid w:val="00C42988"/>
    <w:rsid w:val="00C42AD8"/>
    <w:rsid w:val="00C42BD4"/>
    <w:rsid w:val="00C4372B"/>
    <w:rsid w:val="00C43FF0"/>
    <w:rsid w:val="00C44124"/>
    <w:rsid w:val="00C44641"/>
    <w:rsid w:val="00C457EB"/>
    <w:rsid w:val="00C45EF5"/>
    <w:rsid w:val="00C46B7E"/>
    <w:rsid w:val="00C474D6"/>
    <w:rsid w:val="00C47538"/>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6C73"/>
    <w:rsid w:val="00C5780B"/>
    <w:rsid w:val="00C57A01"/>
    <w:rsid w:val="00C57A2D"/>
    <w:rsid w:val="00C57D00"/>
    <w:rsid w:val="00C57E3C"/>
    <w:rsid w:val="00C60B07"/>
    <w:rsid w:val="00C6117A"/>
    <w:rsid w:val="00C61D4B"/>
    <w:rsid w:val="00C62B0A"/>
    <w:rsid w:val="00C63980"/>
    <w:rsid w:val="00C63C52"/>
    <w:rsid w:val="00C63C95"/>
    <w:rsid w:val="00C63F08"/>
    <w:rsid w:val="00C6519C"/>
    <w:rsid w:val="00C6528C"/>
    <w:rsid w:val="00C661E8"/>
    <w:rsid w:val="00C669C6"/>
    <w:rsid w:val="00C66D05"/>
    <w:rsid w:val="00C67E40"/>
    <w:rsid w:val="00C70038"/>
    <w:rsid w:val="00C70084"/>
    <w:rsid w:val="00C70847"/>
    <w:rsid w:val="00C7090B"/>
    <w:rsid w:val="00C71C2B"/>
    <w:rsid w:val="00C7235B"/>
    <w:rsid w:val="00C72E18"/>
    <w:rsid w:val="00C731AD"/>
    <w:rsid w:val="00C73417"/>
    <w:rsid w:val="00C7380B"/>
    <w:rsid w:val="00C73C02"/>
    <w:rsid w:val="00C74421"/>
    <w:rsid w:val="00C75F2F"/>
    <w:rsid w:val="00C75FEE"/>
    <w:rsid w:val="00C76F1D"/>
    <w:rsid w:val="00C77937"/>
    <w:rsid w:val="00C77CA4"/>
    <w:rsid w:val="00C77D26"/>
    <w:rsid w:val="00C80029"/>
    <w:rsid w:val="00C80BDF"/>
    <w:rsid w:val="00C815DF"/>
    <w:rsid w:val="00C81819"/>
    <w:rsid w:val="00C82E22"/>
    <w:rsid w:val="00C82FEE"/>
    <w:rsid w:val="00C848E3"/>
    <w:rsid w:val="00C84D39"/>
    <w:rsid w:val="00C85277"/>
    <w:rsid w:val="00C85806"/>
    <w:rsid w:val="00C85CFA"/>
    <w:rsid w:val="00C85D76"/>
    <w:rsid w:val="00C873AC"/>
    <w:rsid w:val="00C8779C"/>
    <w:rsid w:val="00C87DA6"/>
    <w:rsid w:val="00C90203"/>
    <w:rsid w:val="00C9055D"/>
    <w:rsid w:val="00C91857"/>
    <w:rsid w:val="00C9213B"/>
    <w:rsid w:val="00C921CD"/>
    <w:rsid w:val="00C93462"/>
    <w:rsid w:val="00C93C1F"/>
    <w:rsid w:val="00C94384"/>
    <w:rsid w:val="00C94A34"/>
    <w:rsid w:val="00C94C2B"/>
    <w:rsid w:val="00C94F73"/>
    <w:rsid w:val="00C95609"/>
    <w:rsid w:val="00C96F79"/>
    <w:rsid w:val="00C97CF9"/>
    <w:rsid w:val="00CA17DD"/>
    <w:rsid w:val="00CA1863"/>
    <w:rsid w:val="00CA1941"/>
    <w:rsid w:val="00CA23D5"/>
    <w:rsid w:val="00CA26CE"/>
    <w:rsid w:val="00CA391D"/>
    <w:rsid w:val="00CA3ACD"/>
    <w:rsid w:val="00CA457E"/>
    <w:rsid w:val="00CA4D5D"/>
    <w:rsid w:val="00CA4F8B"/>
    <w:rsid w:val="00CA5235"/>
    <w:rsid w:val="00CA5445"/>
    <w:rsid w:val="00CA5761"/>
    <w:rsid w:val="00CA7488"/>
    <w:rsid w:val="00CB0007"/>
    <w:rsid w:val="00CB09DA"/>
    <w:rsid w:val="00CB0BD9"/>
    <w:rsid w:val="00CB1877"/>
    <w:rsid w:val="00CB1BAE"/>
    <w:rsid w:val="00CB1CAC"/>
    <w:rsid w:val="00CB1DE8"/>
    <w:rsid w:val="00CB1E3B"/>
    <w:rsid w:val="00CB1F1D"/>
    <w:rsid w:val="00CB2A71"/>
    <w:rsid w:val="00CB36E7"/>
    <w:rsid w:val="00CB608F"/>
    <w:rsid w:val="00CB6795"/>
    <w:rsid w:val="00CB71F8"/>
    <w:rsid w:val="00CC180A"/>
    <w:rsid w:val="00CC26DB"/>
    <w:rsid w:val="00CC275C"/>
    <w:rsid w:val="00CC300C"/>
    <w:rsid w:val="00CC32B2"/>
    <w:rsid w:val="00CC35AE"/>
    <w:rsid w:val="00CC3DAA"/>
    <w:rsid w:val="00CC4C2C"/>
    <w:rsid w:val="00CC5057"/>
    <w:rsid w:val="00CC5B11"/>
    <w:rsid w:val="00CC640F"/>
    <w:rsid w:val="00CC7843"/>
    <w:rsid w:val="00CC7E1A"/>
    <w:rsid w:val="00CD078F"/>
    <w:rsid w:val="00CD121E"/>
    <w:rsid w:val="00CD185D"/>
    <w:rsid w:val="00CD28F0"/>
    <w:rsid w:val="00CD3598"/>
    <w:rsid w:val="00CD3ED8"/>
    <w:rsid w:val="00CD497A"/>
    <w:rsid w:val="00CD761D"/>
    <w:rsid w:val="00CD76B5"/>
    <w:rsid w:val="00CD7785"/>
    <w:rsid w:val="00CD78B9"/>
    <w:rsid w:val="00CE1D01"/>
    <w:rsid w:val="00CE1E1E"/>
    <w:rsid w:val="00CE2323"/>
    <w:rsid w:val="00CE2346"/>
    <w:rsid w:val="00CE2CDA"/>
    <w:rsid w:val="00CE3A59"/>
    <w:rsid w:val="00CE4323"/>
    <w:rsid w:val="00CE61AE"/>
    <w:rsid w:val="00CE6F0F"/>
    <w:rsid w:val="00CF002F"/>
    <w:rsid w:val="00CF0246"/>
    <w:rsid w:val="00CF1875"/>
    <w:rsid w:val="00CF1924"/>
    <w:rsid w:val="00CF2483"/>
    <w:rsid w:val="00CF24E2"/>
    <w:rsid w:val="00CF393D"/>
    <w:rsid w:val="00CF4ABD"/>
    <w:rsid w:val="00CF4CF2"/>
    <w:rsid w:val="00CF5A53"/>
    <w:rsid w:val="00CF5D28"/>
    <w:rsid w:val="00CF6266"/>
    <w:rsid w:val="00CF68B8"/>
    <w:rsid w:val="00CF6EAD"/>
    <w:rsid w:val="00CF6F1E"/>
    <w:rsid w:val="00CF6FF8"/>
    <w:rsid w:val="00CF7354"/>
    <w:rsid w:val="00D001F9"/>
    <w:rsid w:val="00D0036E"/>
    <w:rsid w:val="00D00BB7"/>
    <w:rsid w:val="00D00CE5"/>
    <w:rsid w:val="00D01EAD"/>
    <w:rsid w:val="00D035B9"/>
    <w:rsid w:val="00D040B7"/>
    <w:rsid w:val="00D047A8"/>
    <w:rsid w:val="00D060FF"/>
    <w:rsid w:val="00D064E8"/>
    <w:rsid w:val="00D06546"/>
    <w:rsid w:val="00D06572"/>
    <w:rsid w:val="00D065CD"/>
    <w:rsid w:val="00D06811"/>
    <w:rsid w:val="00D06D84"/>
    <w:rsid w:val="00D0724B"/>
    <w:rsid w:val="00D07A60"/>
    <w:rsid w:val="00D10818"/>
    <w:rsid w:val="00D12325"/>
    <w:rsid w:val="00D12761"/>
    <w:rsid w:val="00D13281"/>
    <w:rsid w:val="00D14487"/>
    <w:rsid w:val="00D14844"/>
    <w:rsid w:val="00D15D47"/>
    <w:rsid w:val="00D15E7E"/>
    <w:rsid w:val="00D16058"/>
    <w:rsid w:val="00D16862"/>
    <w:rsid w:val="00D16FDD"/>
    <w:rsid w:val="00D17601"/>
    <w:rsid w:val="00D20016"/>
    <w:rsid w:val="00D207A7"/>
    <w:rsid w:val="00D20B19"/>
    <w:rsid w:val="00D21753"/>
    <w:rsid w:val="00D2279F"/>
    <w:rsid w:val="00D22AF1"/>
    <w:rsid w:val="00D22E93"/>
    <w:rsid w:val="00D241FE"/>
    <w:rsid w:val="00D242DA"/>
    <w:rsid w:val="00D247EC"/>
    <w:rsid w:val="00D25EF5"/>
    <w:rsid w:val="00D26448"/>
    <w:rsid w:val="00D264CE"/>
    <w:rsid w:val="00D26670"/>
    <w:rsid w:val="00D2670E"/>
    <w:rsid w:val="00D26910"/>
    <w:rsid w:val="00D27B8B"/>
    <w:rsid w:val="00D27C81"/>
    <w:rsid w:val="00D30CF0"/>
    <w:rsid w:val="00D30E03"/>
    <w:rsid w:val="00D31681"/>
    <w:rsid w:val="00D3191C"/>
    <w:rsid w:val="00D31B6E"/>
    <w:rsid w:val="00D3232B"/>
    <w:rsid w:val="00D3239F"/>
    <w:rsid w:val="00D324A4"/>
    <w:rsid w:val="00D3250C"/>
    <w:rsid w:val="00D32721"/>
    <w:rsid w:val="00D328F6"/>
    <w:rsid w:val="00D33473"/>
    <w:rsid w:val="00D33F8C"/>
    <w:rsid w:val="00D34584"/>
    <w:rsid w:val="00D345D4"/>
    <w:rsid w:val="00D3462C"/>
    <w:rsid w:val="00D34DEB"/>
    <w:rsid w:val="00D35198"/>
    <w:rsid w:val="00D3584B"/>
    <w:rsid w:val="00D35A85"/>
    <w:rsid w:val="00D35F97"/>
    <w:rsid w:val="00D361D6"/>
    <w:rsid w:val="00D36964"/>
    <w:rsid w:val="00D36E9D"/>
    <w:rsid w:val="00D37A1A"/>
    <w:rsid w:val="00D4081B"/>
    <w:rsid w:val="00D40968"/>
    <w:rsid w:val="00D40E1A"/>
    <w:rsid w:val="00D413C3"/>
    <w:rsid w:val="00D41C28"/>
    <w:rsid w:val="00D42240"/>
    <w:rsid w:val="00D427C3"/>
    <w:rsid w:val="00D42EB8"/>
    <w:rsid w:val="00D43BC5"/>
    <w:rsid w:val="00D43D3C"/>
    <w:rsid w:val="00D43E0B"/>
    <w:rsid w:val="00D441E2"/>
    <w:rsid w:val="00D44530"/>
    <w:rsid w:val="00D44932"/>
    <w:rsid w:val="00D44FAF"/>
    <w:rsid w:val="00D46111"/>
    <w:rsid w:val="00D4662F"/>
    <w:rsid w:val="00D46A4D"/>
    <w:rsid w:val="00D46F1B"/>
    <w:rsid w:val="00D47410"/>
    <w:rsid w:val="00D475FB"/>
    <w:rsid w:val="00D47C16"/>
    <w:rsid w:val="00D502AF"/>
    <w:rsid w:val="00D50310"/>
    <w:rsid w:val="00D50546"/>
    <w:rsid w:val="00D50764"/>
    <w:rsid w:val="00D50C12"/>
    <w:rsid w:val="00D51034"/>
    <w:rsid w:val="00D514A9"/>
    <w:rsid w:val="00D51A77"/>
    <w:rsid w:val="00D522DC"/>
    <w:rsid w:val="00D5250C"/>
    <w:rsid w:val="00D5267B"/>
    <w:rsid w:val="00D53649"/>
    <w:rsid w:val="00D53830"/>
    <w:rsid w:val="00D54637"/>
    <w:rsid w:val="00D5498D"/>
    <w:rsid w:val="00D54FB3"/>
    <w:rsid w:val="00D55889"/>
    <w:rsid w:val="00D55903"/>
    <w:rsid w:val="00D56B5F"/>
    <w:rsid w:val="00D57A3F"/>
    <w:rsid w:val="00D57AF0"/>
    <w:rsid w:val="00D61815"/>
    <w:rsid w:val="00D619B0"/>
    <w:rsid w:val="00D627E3"/>
    <w:rsid w:val="00D62ECD"/>
    <w:rsid w:val="00D631C1"/>
    <w:rsid w:val="00D64426"/>
    <w:rsid w:val="00D64475"/>
    <w:rsid w:val="00D64A2A"/>
    <w:rsid w:val="00D654BE"/>
    <w:rsid w:val="00D65892"/>
    <w:rsid w:val="00D65CB0"/>
    <w:rsid w:val="00D65D78"/>
    <w:rsid w:val="00D66AAA"/>
    <w:rsid w:val="00D66B04"/>
    <w:rsid w:val="00D67BC5"/>
    <w:rsid w:val="00D7021B"/>
    <w:rsid w:val="00D70D33"/>
    <w:rsid w:val="00D71862"/>
    <w:rsid w:val="00D71E7F"/>
    <w:rsid w:val="00D71FBA"/>
    <w:rsid w:val="00D7239B"/>
    <w:rsid w:val="00D72FEE"/>
    <w:rsid w:val="00D73077"/>
    <w:rsid w:val="00D736A2"/>
    <w:rsid w:val="00D73C57"/>
    <w:rsid w:val="00D742FF"/>
    <w:rsid w:val="00D74E33"/>
    <w:rsid w:val="00D758B3"/>
    <w:rsid w:val="00D75A86"/>
    <w:rsid w:val="00D76ADC"/>
    <w:rsid w:val="00D77413"/>
    <w:rsid w:val="00D777D6"/>
    <w:rsid w:val="00D77EF7"/>
    <w:rsid w:val="00D80B04"/>
    <w:rsid w:val="00D815AD"/>
    <w:rsid w:val="00D81F10"/>
    <w:rsid w:val="00D82798"/>
    <w:rsid w:val="00D82BF2"/>
    <w:rsid w:val="00D831DA"/>
    <w:rsid w:val="00D832EC"/>
    <w:rsid w:val="00D84A57"/>
    <w:rsid w:val="00D85F3E"/>
    <w:rsid w:val="00D87307"/>
    <w:rsid w:val="00D874DF"/>
    <w:rsid w:val="00D8794E"/>
    <w:rsid w:val="00D87A12"/>
    <w:rsid w:val="00D9028C"/>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DC"/>
    <w:rsid w:val="00DA175F"/>
    <w:rsid w:val="00DA180C"/>
    <w:rsid w:val="00DA18A2"/>
    <w:rsid w:val="00DA3251"/>
    <w:rsid w:val="00DA3E7B"/>
    <w:rsid w:val="00DA3F17"/>
    <w:rsid w:val="00DA418E"/>
    <w:rsid w:val="00DA4419"/>
    <w:rsid w:val="00DA451D"/>
    <w:rsid w:val="00DA470D"/>
    <w:rsid w:val="00DA4A78"/>
    <w:rsid w:val="00DA4CC5"/>
    <w:rsid w:val="00DA56DB"/>
    <w:rsid w:val="00DA6452"/>
    <w:rsid w:val="00DA6FE9"/>
    <w:rsid w:val="00DA7925"/>
    <w:rsid w:val="00DA7CD8"/>
    <w:rsid w:val="00DB031E"/>
    <w:rsid w:val="00DB040B"/>
    <w:rsid w:val="00DB0AB8"/>
    <w:rsid w:val="00DB0C7C"/>
    <w:rsid w:val="00DB0D2A"/>
    <w:rsid w:val="00DB11CD"/>
    <w:rsid w:val="00DB16A0"/>
    <w:rsid w:val="00DB1DAB"/>
    <w:rsid w:val="00DB39D4"/>
    <w:rsid w:val="00DB3A47"/>
    <w:rsid w:val="00DB4099"/>
    <w:rsid w:val="00DB46D0"/>
    <w:rsid w:val="00DB46DF"/>
    <w:rsid w:val="00DB49B6"/>
    <w:rsid w:val="00DB4E06"/>
    <w:rsid w:val="00DB677E"/>
    <w:rsid w:val="00DB6A80"/>
    <w:rsid w:val="00DB6C06"/>
    <w:rsid w:val="00DB724E"/>
    <w:rsid w:val="00DB7B06"/>
    <w:rsid w:val="00DC043D"/>
    <w:rsid w:val="00DC318A"/>
    <w:rsid w:val="00DC3A9D"/>
    <w:rsid w:val="00DC4004"/>
    <w:rsid w:val="00DC4243"/>
    <w:rsid w:val="00DC5584"/>
    <w:rsid w:val="00DC662F"/>
    <w:rsid w:val="00DC6947"/>
    <w:rsid w:val="00DC6C1E"/>
    <w:rsid w:val="00DC7255"/>
    <w:rsid w:val="00DC72CE"/>
    <w:rsid w:val="00DC7951"/>
    <w:rsid w:val="00DC7A91"/>
    <w:rsid w:val="00DD078D"/>
    <w:rsid w:val="00DD0E0E"/>
    <w:rsid w:val="00DD1C4B"/>
    <w:rsid w:val="00DD1F7B"/>
    <w:rsid w:val="00DD229E"/>
    <w:rsid w:val="00DD3029"/>
    <w:rsid w:val="00DD5417"/>
    <w:rsid w:val="00DD55E0"/>
    <w:rsid w:val="00DD55F5"/>
    <w:rsid w:val="00DD5EF9"/>
    <w:rsid w:val="00DD66E4"/>
    <w:rsid w:val="00DD6940"/>
    <w:rsid w:val="00DD79CE"/>
    <w:rsid w:val="00DE14CD"/>
    <w:rsid w:val="00DE17D3"/>
    <w:rsid w:val="00DE18A3"/>
    <w:rsid w:val="00DE1904"/>
    <w:rsid w:val="00DE19FB"/>
    <w:rsid w:val="00DE1B83"/>
    <w:rsid w:val="00DE1DAA"/>
    <w:rsid w:val="00DE2519"/>
    <w:rsid w:val="00DE2903"/>
    <w:rsid w:val="00DE2EF0"/>
    <w:rsid w:val="00DE3DBB"/>
    <w:rsid w:val="00DE43A2"/>
    <w:rsid w:val="00DE4A74"/>
    <w:rsid w:val="00DE4B05"/>
    <w:rsid w:val="00DE4EE9"/>
    <w:rsid w:val="00DE5105"/>
    <w:rsid w:val="00DE541C"/>
    <w:rsid w:val="00DE702B"/>
    <w:rsid w:val="00DE737B"/>
    <w:rsid w:val="00DF100B"/>
    <w:rsid w:val="00DF11B7"/>
    <w:rsid w:val="00DF4359"/>
    <w:rsid w:val="00DF4A33"/>
    <w:rsid w:val="00DF5B28"/>
    <w:rsid w:val="00DF6B52"/>
    <w:rsid w:val="00DF6E80"/>
    <w:rsid w:val="00DF73C1"/>
    <w:rsid w:val="00DF7511"/>
    <w:rsid w:val="00DF7751"/>
    <w:rsid w:val="00DF7F09"/>
    <w:rsid w:val="00E009B1"/>
    <w:rsid w:val="00E00AA9"/>
    <w:rsid w:val="00E00BC3"/>
    <w:rsid w:val="00E011D7"/>
    <w:rsid w:val="00E016E1"/>
    <w:rsid w:val="00E031BB"/>
    <w:rsid w:val="00E0417B"/>
    <w:rsid w:val="00E04322"/>
    <w:rsid w:val="00E04FF3"/>
    <w:rsid w:val="00E0576C"/>
    <w:rsid w:val="00E063EF"/>
    <w:rsid w:val="00E068BC"/>
    <w:rsid w:val="00E06C12"/>
    <w:rsid w:val="00E073F0"/>
    <w:rsid w:val="00E10761"/>
    <w:rsid w:val="00E112F2"/>
    <w:rsid w:val="00E118C5"/>
    <w:rsid w:val="00E11D7A"/>
    <w:rsid w:val="00E11EEB"/>
    <w:rsid w:val="00E1213C"/>
    <w:rsid w:val="00E128F2"/>
    <w:rsid w:val="00E12A25"/>
    <w:rsid w:val="00E13E5A"/>
    <w:rsid w:val="00E13EE4"/>
    <w:rsid w:val="00E14CBF"/>
    <w:rsid w:val="00E15404"/>
    <w:rsid w:val="00E16190"/>
    <w:rsid w:val="00E16463"/>
    <w:rsid w:val="00E16F82"/>
    <w:rsid w:val="00E16F84"/>
    <w:rsid w:val="00E17F6F"/>
    <w:rsid w:val="00E20018"/>
    <w:rsid w:val="00E20B20"/>
    <w:rsid w:val="00E21F16"/>
    <w:rsid w:val="00E22550"/>
    <w:rsid w:val="00E239D1"/>
    <w:rsid w:val="00E246B9"/>
    <w:rsid w:val="00E250C5"/>
    <w:rsid w:val="00E262E9"/>
    <w:rsid w:val="00E26727"/>
    <w:rsid w:val="00E26970"/>
    <w:rsid w:val="00E26EB9"/>
    <w:rsid w:val="00E2728F"/>
    <w:rsid w:val="00E27791"/>
    <w:rsid w:val="00E30ED0"/>
    <w:rsid w:val="00E30F26"/>
    <w:rsid w:val="00E30F2D"/>
    <w:rsid w:val="00E319DB"/>
    <w:rsid w:val="00E31AFC"/>
    <w:rsid w:val="00E3250F"/>
    <w:rsid w:val="00E329D9"/>
    <w:rsid w:val="00E338A7"/>
    <w:rsid w:val="00E33995"/>
    <w:rsid w:val="00E3409E"/>
    <w:rsid w:val="00E342E6"/>
    <w:rsid w:val="00E34F76"/>
    <w:rsid w:val="00E35926"/>
    <w:rsid w:val="00E3621E"/>
    <w:rsid w:val="00E37BE5"/>
    <w:rsid w:val="00E402B8"/>
    <w:rsid w:val="00E40446"/>
    <w:rsid w:val="00E409A9"/>
    <w:rsid w:val="00E40B94"/>
    <w:rsid w:val="00E4115E"/>
    <w:rsid w:val="00E41A27"/>
    <w:rsid w:val="00E41AB4"/>
    <w:rsid w:val="00E42737"/>
    <w:rsid w:val="00E4293C"/>
    <w:rsid w:val="00E4450A"/>
    <w:rsid w:val="00E44906"/>
    <w:rsid w:val="00E45C77"/>
    <w:rsid w:val="00E4608B"/>
    <w:rsid w:val="00E46D7F"/>
    <w:rsid w:val="00E501D3"/>
    <w:rsid w:val="00E50942"/>
    <w:rsid w:val="00E52C85"/>
    <w:rsid w:val="00E532A6"/>
    <w:rsid w:val="00E53A01"/>
    <w:rsid w:val="00E54C24"/>
    <w:rsid w:val="00E557A5"/>
    <w:rsid w:val="00E5615E"/>
    <w:rsid w:val="00E564C4"/>
    <w:rsid w:val="00E567C9"/>
    <w:rsid w:val="00E57E1A"/>
    <w:rsid w:val="00E604C4"/>
    <w:rsid w:val="00E60809"/>
    <w:rsid w:val="00E61300"/>
    <w:rsid w:val="00E635B9"/>
    <w:rsid w:val="00E65D15"/>
    <w:rsid w:val="00E66CD8"/>
    <w:rsid w:val="00E67802"/>
    <w:rsid w:val="00E67EE5"/>
    <w:rsid w:val="00E7013A"/>
    <w:rsid w:val="00E70E4E"/>
    <w:rsid w:val="00E72C6B"/>
    <w:rsid w:val="00E73503"/>
    <w:rsid w:val="00E73AB7"/>
    <w:rsid w:val="00E73EC0"/>
    <w:rsid w:val="00E746EC"/>
    <w:rsid w:val="00E74F5D"/>
    <w:rsid w:val="00E75BDC"/>
    <w:rsid w:val="00E76034"/>
    <w:rsid w:val="00E77357"/>
    <w:rsid w:val="00E7781A"/>
    <w:rsid w:val="00E779D0"/>
    <w:rsid w:val="00E80440"/>
    <w:rsid w:val="00E80976"/>
    <w:rsid w:val="00E81034"/>
    <w:rsid w:val="00E817E0"/>
    <w:rsid w:val="00E81B82"/>
    <w:rsid w:val="00E82EE4"/>
    <w:rsid w:val="00E831E7"/>
    <w:rsid w:val="00E843B5"/>
    <w:rsid w:val="00E84A3B"/>
    <w:rsid w:val="00E85307"/>
    <w:rsid w:val="00E85B0A"/>
    <w:rsid w:val="00E869B9"/>
    <w:rsid w:val="00E87718"/>
    <w:rsid w:val="00E87742"/>
    <w:rsid w:val="00E907E4"/>
    <w:rsid w:val="00E90A24"/>
    <w:rsid w:val="00E90C34"/>
    <w:rsid w:val="00E919AC"/>
    <w:rsid w:val="00E91A38"/>
    <w:rsid w:val="00E927FA"/>
    <w:rsid w:val="00E92C92"/>
    <w:rsid w:val="00E9321C"/>
    <w:rsid w:val="00E93499"/>
    <w:rsid w:val="00E93CB3"/>
    <w:rsid w:val="00E946A6"/>
    <w:rsid w:val="00E947E4"/>
    <w:rsid w:val="00E9480A"/>
    <w:rsid w:val="00E94A86"/>
    <w:rsid w:val="00E9616B"/>
    <w:rsid w:val="00E96A29"/>
    <w:rsid w:val="00E96B28"/>
    <w:rsid w:val="00E96FE6"/>
    <w:rsid w:val="00E973A1"/>
    <w:rsid w:val="00E97418"/>
    <w:rsid w:val="00EA0BDE"/>
    <w:rsid w:val="00EA0F54"/>
    <w:rsid w:val="00EA1059"/>
    <w:rsid w:val="00EA1D43"/>
    <w:rsid w:val="00EA26AF"/>
    <w:rsid w:val="00EA407B"/>
    <w:rsid w:val="00EA41DD"/>
    <w:rsid w:val="00EA4C04"/>
    <w:rsid w:val="00EA4EC9"/>
    <w:rsid w:val="00EA568E"/>
    <w:rsid w:val="00EA5E0F"/>
    <w:rsid w:val="00EA67AC"/>
    <w:rsid w:val="00EA6FE4"/>
    <w:rsid w:val="00EA798D"/>
    <w:rsid w:val="00EA7F4C"/>
    <w:rsid w:val="00EB1D47"/>
    <w:rsid w:val="00EB2146"/>
    <w:rsid w:val="00EB2317"/>
    <w:rsid w:val="00EB23DB"/>
    <w:rsid w:val="00EB26C6"/>
    <w:rsid w:val="00EB279B"/>
    <w:rsid w:val="00EB27C9"/>
    <w:rsid w:val="00EB2ABB"/>
    <w:rsid w:val="00EB2B18"/>
    <w:rsid w:val="00EB2BF3"/>
    <w:rsid w:val="00EB3525"/>
    <w:rsid w:val="00EB4F83"/>
    <w:rsid w:val="00EB584C"/>
    <w:rsid w:val="00EB5863"/>
    <w:rsid w:val="00EB5D88"/>
    <w:rsid w:val="00EB5FAF"/>
    <w:rsid w:val="00EB6D14"/>
    <w:rsid w:val="00EB6FAA"/>
    <w:rsid w:val="00EB7307"/>
    <w:rsid w:val="00EB772D"/>
    <w:rsid w:val="00EC14B0"/>
    <w:rsid w:val="00EC204E"/>
    <w:rsid w:val="00EC249E"/>
    <w:rsid w:val="00EC2CFF"/>
    <w:rsid w:val="00EC2DFB"/>
    <w:rsid w:val="00EC37EE"/>
    <w:rsid w:val="00EC3C70"/>
    <w:rsid w:val="00EC3EFC"/>
    <w:rsid w:val="00EC4308"/>
    <w:rsid w:val="00EC4472"/>
    <w:rsid w:val="00EC4904"/>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33AE"/>
    <w:rsid w:val="00ED3775"/>
    <w:rsid w:val="00ED4A6D"/>
    <w:rsid w:val="00ED6A4E"/>
    <w:rsid w:val="00ED6D4A"/>
    <w:rsid w:val="00ED721A"/>
    <w:rsid w:val="00ED738C"/>
    <w:rsid w:val="00ED76A8"/>
    <w:rsid w:val="00ED7888"/>
    <w:rsid w:val="00ED7918"/>
    <w:rsid w:val="00ED7FD3"/>
    <w:rsid w:val="00EE0BF7"/>
    <w:rsid w:val="00EE0E5D"/>
    <w:rsid w:val="00EE11C2"/>
    <w:rsid w:val="00EE2A61"/>
    <w:rsid w:val="00EE3663"/>
    <w:rsid w:val="00EE41C4"/>
    <w:rsid w:val="00EE4951"/>
    <w:rsid w:val="00EE4C3C"/>
    <w:rsid w:val="00EE557E"/>
    <w:rsid w:val="00EE5A27"/>
    <w:rsid w:val="00EE69BE"/>
    <w:rsid w:val="00EE6E77"/>
    <w:rsid w:val="00EE76A9"/>
    <w:rsid w:val="00EE7746"/>
    <w:rsid w:val="00EE799E"/>
    <w:rsid w:val="00EE7CA8"/>
    <w:rsid w:val="00EE7FA7"/>
    <w:rsid w:val="00EF00AD"/>
    <w:rsid w:val="00EF0322"/>
    <w:rsid w:val="00EF1093"/>
    <w:rsid w:val="00EF1466"/>
    <w:rsid w:val="00EF195E"/>
    <w:rsid w:val="00EF1FCB"/>
    <w:rsid w:val="00EF21C3"/>
    <w:rsid w:val="00EF2C14"/>
    <w:rsid w:val="00EF2E6B"/>
    <w:rsid w:val="00EF53ED"/>
    <w:rsid w:val="00EF54D1"/>
    <w:rsid w:val="00EF56AF"/>
    <w:rsid w:val="00EF5DF8"/>
    <w:rsid w:val="00EF67BB"/>
    <w:rsid w:val="00EF72F9"/>
    <w:rsid w:val="00F0021E"/>
    <w:rsid w:val="00F0030E"/>
    <w:rsid w:val="00F005CB"/>
    <w:rsid w:val="00F00CD1"/>
    <w:rsid w:val="00F01E6B"/>
    <w:rsid w:val="00F0241C"/>
    <w:rsid w:val="00F0243F"/>
    <w:rsid w:val="00F02BF9"/>
    <w:rsid w:val="00F031EE"/>
    <w:rsid w:val="00F0354A"/>
    <w:rsid w:val="00F03C0E"/>
    <w:rsid w:val="00F05759"/>
    <w:rsid w:val="00F05E96"/>
    <w:rsid w:val="00F064EC"/>
    <w:rsid w:val="00F07701"/>
    <w:rsid w:val="00F07F39"/>
    <w:rsid w:val="00F07F69"/>
    <w:rsid w:val="00F07F6F"/>
    <w:rsid w:val="00F10CB9"/>
    <w:rsid w:val="00F10E78"/>
    <w:rsid w:val="00F110CD"/>
    <w:rsid w:val="00F110D5"/>
    <w:rsid w:val="00F1130C"/>
    <w:rsid w:val="00F12351"/>
    <w:rsid w:val="00F133AB"/>
    <w:rsid w:val="00F15193"/>
    <w:rsid w:val="00F16739"/>
    <w:rsid w:val="00F16DE2"/>
    <w:rsid w:val="00F2052B"/>
    <w:rsid w:val="00F211CA"/>
    <w:rsid w:val="00F22183"/>
    <w:rsid w:val="00F2260F"/>
    <w:rsid w:val="00F242AD"/>
    <w:rsid w:val="00F247F2"/>
    <w:rsid w:val="00F24912"/>
    <w:rsid w:val="00F2518F"/>
    <w:rsid w:val="00F252A8"/>
    <w:rsid w:val="00F255D9"/>
    <w:rsid w:val="00F26276"/>
    <w:rsid w:val="00F265F7"/>
    <w:rsid w:val="00F26D0A"/>
    <w:rsid w:val="00F27A81"/>
    <w:rsid w:val="00F27FA6"/>
    <w:rsid w:val="00F33DC8"/>
    <w:rsid w:val="00F34444"/>
    <w:rsid w:val="00F35149"/>
    <w:rsid w:val="00F35893"/>
    <w:rsid w:val="00F378F1"/>
    <w:rsid w:val="00F403A1"/>
    <w:rsid w:val="00F403DB"/>
    <w:rsid w:val="00F4065A"/>
    <w:rsid w:val="00F40A47"/>
    <w:rsid w:val="00F4275C"/>
    <w:rsid w:val="00F42AD4"/>
    <w:rsid w:val="00F434B2"/>
    <w:rsid w:val="00F4557B"/>
    <w:rsid w:val="00F45693"/>
    <w:rsid w:val="00F45A18"/>
    <w:rsid w:val="00F50E58"/>
    <w:rsid w:val="00F52077"/>
    <w:rsid w:val="00F52339"/>
    <w:rsid w:val="00F5277A"/>
    <w:rsid w:val="00F52F2E"/>
    <w:rsid w:val="00F532E8"/>
    <w:rsid w:val="00F537FF"/>
    <w:rsid w:val="00F5400C"/>
    <w:rsid w:val="00F54E36"/>
    <w:rsid w:val="00F55DC8"/>
    <w:rsid w:val="00F560FE"/>
    <w:rsid w:val="00F56BF9"/>
    <w:rsid w:val="00F570CD"/>
    <w:rsid w:val="00F6016A"/>
    <w:rsid w:val="00F60CD6"/>
    <w:rsid w:val="00F6111C"/>
    <w:rsid w:val="00F614C0"/>
    <w:rsid w:val="00F61647"/>
    <w:rsid w:val="00F616B7"/>
    <w:rsid w:val="00F62B99"/>
    <w:rsid w:val="00F63B12"/>
    <w:rsid w:val="00F64279"/>
    <w:rsid w:val="00F657CF"/>
    <w:rsid w:val="00F65808"/>
    <w:rsid w:val="00F6587D"/>
    <w:rsid w:val="00F66A00"/>
    <w:rsid w:val="00F66CFB"/>
    <w:rsid w:val="00F70C73"/>
    <w:rsid w:val="00F713A3"/>
    <w:rsid w:val="00F715CB"/>
    <w:rsid w:val="00F71A8F"/>
    <w:rsid w:val="00F75330"/>
    <w:rsid w:val="00F75B66"/>
    <w:rsid w:val="00F75E36"/>
    <w:rsid w:val="00F76BD9"/>
    <w:rsid w:val="00F80318"/>
    <w:rsid w:val="00F803D0"/>
    <w:rsid w:val="00F80703"/>
    <w:rsid w:val="00F80948"/>
    <w:rsid w:val="00F80B2C"/>
    <w:rsid w:val="00F81387"/>
    <w:rsid w:val="00F82134"/>
    <w:rsid w:val="00F822E3"/>
    <w:rsid w:val="00F82866"/>
    <w:rsid w:val="00F8296B"/>
    <w:rsid w:val="00F83FFA"/>
    <w:rsid w:val="00F841B0"/>
    <w:rsid w:val="00F841FB"/>
    <w:rsid w:val="00F84421"/>
    <w:rsid w:val="00F8449B"/>
    <w:rsid w:val="00F84A57"/>
    <w:rsid w:val="00F84B44"/>
    <w:rsid w:val="00F84B7B"/>
    <w:rsid w:val="00F85047"/>
    <w:rsid w:val="00F85691"/>
    <w:rsid w:val="00F8582E"/>
    <w:rsid w:val="00F8586B"/>
    <w:rsid w:val="00F87032"/>
    <w:rsid w:val="00F87094"/>
    <w:rsid w:val="00F87AB3"/>
    <w:rsid w:val="00F9014A"/>
    <w:rsid w:val="00F913DC"/>
    <w:rsid w:val="00F91DDA"/>
    <w:rsid w:val="00F9258B"/>
    <w:rsid w:val="00F93429"/>
    <w:rsid w:val="00F9397A"/>
    <w:rsid w:val="00F93A37"/>
    <w:rsid w:val="00F94182"/>
    <w:rsid w:val="00F9431F"/>
    <w:rsid w:val="00F944D9"/>
    <w:rsid w:val="00F94A02"/>
    <w:rsid w:val="00F94A3B"/>
    <w:rsid w:val="00F94DB3"/>
    <w:rsid w:val="00F9648D"/>
    <w:rsid w:val="00F96500"/>
    <w:rsid w:val="00F966CE"/>
    <w:rsid w:val="00F971FC"/>
    <w:rsid w:val="00F9735A"/>
    <w:rsid w:val="00FA0CA9"/>
    <w:rsid w:val="00FA2C35"/>
    <w:rsid w:val="00FA31E7"/>
    <w:rsid w:val="00FA3673"/>
    <w:rsid w:val="00FA413A"/>
    <w:rsid w:val="00FA4144"/>
    <w:rsid w:val="00FA4DDF"/>
    <w:rsid w:val="00FA5C71"/>
    <w:rsid w:val="00FA645E"/>
    <w:rsid w:val="00FA67FB"/>
    <w:rsid w:val="00FA6A01"/>
    <w:rsid w:val="00FA6E7F"/>
    <w:rsid w:val="00FA7114"/>
    <w:rsid w:val="00FA724F"/>
    <w:rsid w:val="00FA77CB"/>
    <w:rsid w:val="00FA7CEE"/>
    <w:rsid w:val="00FB052D"/>
    <w:rsid w:val="00FB22D7"/>
    <w:rsid w:val="00FB2379"/>
    <w:rsid w:val="00FB240E"/>
    <w:rsid w:val="00FB2894"/>
    <w:rsid w:val="00FB3CB7"/>
    <w:rsid w:val="00FB452D"/>
    <w:rsid w:val="00FB4B8A"/>
    <w:rsid w:val="00FB4E42"/>
    <w:rsid w:val="00FB5152"/>
    <w:rsid w:val="00FB5F8F"/>
    <w:rsid w:val="00FB680E"/>
    <w:rsid w:val="00FB6B73"/>
    <w:rsid w:val="00FB706D"/>
    <w:rsid w:val="00FB770C"/>
    <w:rsid w:val="00FB7A0B"/>
    <w:rsid w:val="00FC0065"/>
    <w:rsid w:val="00FC062F"/>
    <w:rsid w:val="00FC0754"/>
    <w:rsid w:val="00FC2232"/>
    <w:rsid w:val="00FC3AEE"/>
    <w:rsid w:val="00FC6238"/>
    <w:rsid w:val="00FC7951"/>
    <w:rsid w:val="00FC7EAE"/>
    <w:rsid w:val="00FD072B"/>
    <w:rsid w:val="00FD236B"/>
    <w:rsid w:val="00FD2785"/>
    <w:rsid w:val="00FD33FC"/>
    <w:rsid w:val="00FD3730"/>
    <w:rsid w:val="00FD3ADE"/>
    <w:rsid w:val="00FD3B08"/>
    <w:rsid w:val="00FD4806"/>
    <w:rsid w:val="00FD4BA4"/>
    <w:rsid w:val="00FD534E"/>
    <w:rsid w:val="00FD56C7"/>
    <w:rsid w:val="00FD59C1"/>
    <w:rsid w:val="00FD5CBB"/>
    <w:rsid w:val="00FD6564"/>
    <w:rsid w:val="00FD6B74"/>
    <w:rsid w:val="00FD70AE"/>
    <w:rsid w:val="00FE002E"/>
    <w:rsid w:val="00FE2398"/>
    <w:rsid w:val="00FE37EC"/>
    <w:rsid w:val="00FE4ECB"/>
    <w:rsid w:val="00FE515A"/>
    <w:rsid w:val="00FE5421"/>
    <w:rsid w:val="00FE5624"/>
    <w:rsid w:val="00FE5D2C"/>
    <w:rsid w:val="00FE5FBF"/>
    <w:rsid w:val="00FE61F1"/>
    <w:rsid w:val="00FE6C25"/>
    <w:rsid w:val="00FF033A"/>
    <w:rsid w:val="00FF0964"/>
    <w:rsid w:val="00FF0F67"/>
    <w:rsid w:val="00FF16F2"/>
    <w:rsid w:val="00FF1F9B"/>
    <w:rsid w:val="00FF24D4"/>
    <w:rsid w:val="00FF2B42"/>
    <w:rsid w:val="00FF2D5B"/>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687"/>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174</TotalTime>
  <Pages>10</Pages>
  <Words>5135</Words>
  <Characters>28808</Characters>
  <Application>Microsoft Office Word</Application>
  <DocSecurity>0</DocSecurity>
  <Lines>417</Lines>
  <Paragraphs>224</Paragraphs>
  <ScaleCrop>false</ScaleCrop>
  <HeadingPairs>
    <vt:vector size="2" baseType="variant">
      <vt:variant>
        <vt:lpstr>Title</vt:lpstr>
      </vt:variant>
      <vt:variant>
        <vt:i4>1</vt:i4>
      </vt:variant>
    </vt:vector>
  </HeadingPairs>
  <TitlesOfParts>
    <vt:vector size="1" baseType="lpstr">
      <vt:lpstr>R1-2206984</vt:lpstr>
    </vt:vector>
  </TitlesOfParts>
  <Company>Nokia &amp; NSN</Company>
  <LinksUpToDate>false</LinksUpToDate>
  <CharactersWithSpaces>33719</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R1-2206984</dc:title>
  <dc:subject/>
  <dc:creator/>
  <cp:keywords/>
  <dc:description/>
  <cp:lastModifiedBy>Mohammed Al-Imari</cp:lastModifiedBy>
  <cp:revision>44</cp:revision>
  <cp:lastPrinted>2022-04-20T10:29:00Z</cp:lastPrinted>
  <dcterms:created xsi:type="dcterms:W3CDTF">2022-08-05T16:29:00Z</dcterms:created>
  <dcterms:modified xsi:type="dcterms:W3CDTF">2022-08-12T14:55:00Z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ies>
</file>